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Relationships xmlns="http://schemas.openxmlformats.org/package/2006/relationships">
  <Relationship Id="rId1" Type="http://schemas.openxmlformats.org/officeDocument/2006/relationships/extended-properties" Target="docProps/app.xml"/>
  <Relationship Id="rId2" Type="http://schemas.openxmlformats.org/package/2006/relationships/metadata/core-properties" Target="docProps/core.xml"/>
  <Relationship Id="rId3" Type="http://schemas.openxmlformats.org/officeDocument/2006/relationships/custom-properties" Target="docProps/custom.xml"/>
  <Relationship Id="rId4" Type="http://schemas.openxmlformats.org/officeDocument/2006/relationships/officeDocument" Target="word/document.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rPr>
          <w:rFonts w:hint="eastAsia" w:ascii="黑体" w:hAnsi="黑体" w:eastAsia="黑体" w:cs="黑体"/>
          <w:b/>
          <w:bCs/>
          <w:color w:val="0000FF"/>
          <w:kern w:val="2"/>
          <w:sz w:val="32"/>
          <w:szCs w:val="32"/>
          <w:lang w:val="en-US" w:eastAsia="zh-CN" w:bidi="ar-SA"/>
        </w:rPr>
      </w:pPr>
      <w:r>
        <w:rPr>
          <w:rFonts w:hint="eastAsia" w:ascii="黑体" w:hAnsi="黑体" w:eastAsia="黑体" w:cs="黑体"/>
          <w:b/>
          <w:bCs/>
          <w:color w:val="0000FF"/>
          <w:kern w:val="2"/>
          <w:sz w:val="32"/>
          <w:szCs w:val="32"/>
          <w:lang w:val="en-US" w:eastAsia="zh-CN" w:bidi="ar-SA"/>
        </w:rPr>
        <w:t>数字中国建设周刊第13期</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rPr>
          <w:rFonts w:hint="eastAsia" w:ascii="宋体" w:hAnsi="宋体" w:eastAsia="宋体" w:cstheme="minorBidi"/>
          <w:b/>
          <w:bCs/>
          <w:kern w:val="2"/>
          <w:sz w:val="21"/>
          <w:szCs w:val="21"/>
          <w:lang w:val="en-US" w:eastAsia="zh-CN" w:bidi="ar-SA"/>
        </w:rPr>
      </w:pPr>
      <w:r>
        <w:rPr>
          <w:rFonts w:hint="eastAsia" w:ascii="宋体" w:hAnsi="宋体" w:eastAsia="宋体" w:cstheme="minorBidi"/>
          <w:b/>
          <w:bCs/>
          <w:kern w:val="2"/>
          <w:sz w:val="21"/>
          <w:szCs w:val="21"/>
          <w:lang w:val="en-US" w:eastAsia="zh-CN" w:bidi="ar-SA"/>
        </w:rPr>
        <w:t>数字中国研究院（福建）主办</w:t>
      </w:r>
    </w:p>
    <w:p>
      <w:pPr>
        <w:spacing w:before="0" w:beforeLines="0" w:after="0" w:afterLines="0" w:line="240" w:lineRule="auto"/>
        <w:ind w:left="0" w:leftChars="0" w:right="0" w:rightChars="0" w:firstLine="0" w:firstLineChars="0"/>
        <w:jc w:val="center"/>
        <w:rPr>
          <w:rFonts w:hint="default" w:ascii="宋体" w:hAnsi="宋体" w:eastAsia="宋体" w:cs="宋体"/>
          <w:b w:val="0"/>
          <w:bCs w:val="0"/>
          <w:kern w:val="2"/>
          <w:sz w:val="28"/>
          <w:szCs w:val="28"/>
          <w:lang w:val="en-US" w:eastAsia="zh-CN" w:bidi="ar-SA"/>
        </w:rPr>
      </w:pPr>
      <w:r>
        <w:rPr>
          <w:rFonts w:hint="default" w:ascii="宋体" w:hAnsi="宋体" w:eastAsia="宋体" w:cs="宋体"/>
          <w:b w:val="0"/>
          <w:bCs w:val="0"/>
          <w:kern w:val="2"/>
          <w:sz w:val="28"/>
          <w:szCs w:val="28"/>
          <w:lang w:val="en-US" w:eastAsia="zh-CN" w:bidi="ar-SA"/>
        </w:rPr>
        <w:t>目录</w:t>
      </w:r>
    </w:p>
    <w:p>
      <w:pPr>
        <w:pStyle w:val="9"/>
        <w:tabs>
          <w:tab w:val="right" w:leader="dot" w:pos="8306"/>
        </w:tabs>
        <w:rPr>
          <w:b/>
          <w:bCs/>
          <w:sz w:val="30"/>
          <w:szCs w:val="30"/>
        </w:rPr>
      </w:pPr>
      <w:r>
        <w:rPr>
          <w:rFonts w:hint="default"/>
          <w:sz w:val="30"/>
          <w:szCs w:val="30"/>
          <w:lang w:val="en-US" w:eastAsia="zh-CN"/>
        </w:rPr>
        <w:fldChar w:fldCharType="begin"/>
      </w:r>
      <w:r>
        <w:rPr>
          <w:rFonts w:hint="default"/>
          <w:sz w:val="30"/>
          <w:szCs w:val="30"/>
          <w:lang w:val="en-US" w:eastAsia="zh-CN"/>
        </w:rPr>
        <w:instrText xml:space="preserve">TOC \o "1-3" \h \u </w:instrText>
      </w:r>
      <w:r>
        <w:rPr>
          <w:rFonts w:hint="default"/>
          <w:sz w:val="30"/>
          <w:szCs w:val="30"/>
          <w:lang w:val="en-US" w:eastAsia="zh-CN"/>
        </w:rPr>
        <w:fldChar w:fldCharType="separate"/>
      </w:r>
      <w:r>
        <w:rPr>
          <w:rFonts w:hint="default"/>
          <w:b/>
          <w:bCs/>
          <w:sz w:val="30"/>
          <w:szCs w:val="30"/>
          <w:lang w:val="en-US" w:eastAsia="zh-CN"/>
        </w:rPr>
        <w:fldChar w:fldCharType="begin"/>
      </w:r>
      <w:r>
        <w:rPr>
          <w:rFonts w:hint="default"/>
          <w:b/>
          <w:bCs/>
          <w:sz w:val="30"/>
          <w:szCs w:val="30"/>
          <w:lang w:val="en-US" w:eastAsia="zh-CN"/>
        </w:rPr>
        <w:instrText xml:space="preserve"> HYPERLINK \l _Toc18492 </w:instrText>
      </w:r>
      <w:r>
        <w:rPr>
          <w:rFonts w:hint="default"/>
          <w:b/>
          <w:bCs/>
          <w:sz w:val="30"/>
          <w:szCs w:val="30"/>
          <w:lang w:val="en-US" w:eastAsia="zh-CN"/>
        </w:rPr>
        <w:fldChar w:fldCharType="separate"/>
      </w:r>
      <w:r>
        <w:rPr>
          <w:rFonts w:hint="eastAsia" w:asciiTheme="minorHAnsi" w:eastAsiaTheme="minorEastAsia"/>
          <w:b/>
          <w:bCs/>
          <w:sz w:val="30"/>
          <w:szCs w:val="30"/>
          <w:lang w:val="en-US" w:eastAsia="zh-CN"/>
        </w:rPr>
        <w:t>国家主席习近平发表二〇二〇年新年贺词</w:t>
      </w:r>
      <w:r>
        <w:rPr>
          <w:b/>
          <w:bCs/>
          <w:sz w:val="30"/>
          <w:szCs w:val="30"/>
        </w:rPr>
        <w:tab/>
      </w:r>
      <w:r>
        <w:rPr>
          <w:b/>
          <w:bCs/>
          <w:sz w:val="30"/>
          <w:szCs w:val="30"/>
        </w:rPr>
        <w:fldChar w:fldCharType="begin"/>
      </w:r>
      <w:r>
        <w:rPr>
          <w:b/>
          <w:bCs/>
          <w:sz w:val="30"/>
          <w:szCs w:val="30"/>
        </w:rPr>
        <w:instrText xml:space="preserve"> PAGEREF _Toc18492 </w:instrText>
      </w:r>
      <w:r>
        <w:rPr>
          <w:b/>
          <w:bCs/>
          <w:sz w:val="30"/>
          <w:szCs w:val="30"/>
        </w:rPr>
        <w:fldChar w:fldCharType="separate"/>
      </w:r>
      <w:r>
        <w:rPr>
          <w:b/>
          <w:bCs/>
          <w:sz w:val="30"/>
          <w:szCs w:val="30"/>
        </w:rPr>
        <w:t>2</w:t>
      </w:r>
      <w:r>
        <w:rPr>
          <w:b/>
          <w:bCs/>
          <w:sz w:val="30"/>
          <w:szCs w:val="30"/>
        </w:rPr>
        <w:fldChar w:fldCharType="end"/>
      </w:r>
      <w:r>
        <w:rPr>
          <w:rFonts w:hint="default"/>
          <w:b/>
          <w:bCs/>
          <w:sz w:val="30"/>
          <w:szCs w:val="30"/>
          <w:lang w:val="en-US" w:eastAsia="zh-CN"/>
        </w:rPr>
        <w:fldChar w:fldCharType="end"/>
      </w:r>
    </w:p>
    <w:p>
      <w:pPr>
        <w:pStyle w:val="9"/>
        <w:tabs>
          <w:tab w:val="right" w:leader="dot" w:pos="8306"/>
        </w:tabs>
        <w:rPr>
          <w:b/>
          <w:bCs/>
          <w:sz w:val="30"/>
          <w:szCs w:val="30"/>
        </w:rPr>
      </w:pPr>
      <w:r>
        <w:rPr>
          <w:rFonts w:hint="default"/>
          <w:b/>
          <w:bCs/>
          <w:sz w:val="30"/>
          <w:szCs w:val="30"/>
          <w:lang w:val="en-US" w:eastAsia="zh-CN"/>
        </w:rPr>
        <w:fldChar w:fldCharType="begin"/>
      </w:r>
      <w:r>
        <w:rPr>
          <w:rFonts w:hint="default"/>
          <w:b/>
          <w:bCs/>
          <w:sz w:val="30"/>
          <w:szCs w:val="30"/>
          <w:lang w:val="en-US" w:eastAsia="zh-CN"/>
        </w:rPr>
        <w:instrText xml:space="preserve"> HYPERLINK \l _Toc26047 </w:instrText>
      </w:r>
      <w:r>
        <w:rPr>
          <w:rFonts w:hint="default"/>
          <w:b/>
          <w:bCs/>
          <w:sz w:val="30"/>
          <w:szCs w:val="30"/>
          <w:lang w:val="en-US" w:eastAsia="zh-CN"/>
        </w:rPr>
        <w:fldChar w:fldCharType="separate"/>
      </w:r>
      <w:r>
        <w:rPr>
          <w:rFonts w:hint="eastAsia" w:asciiTheme="minorHAnsi" w:eastAsiaTheme="minorEastAsia"/>
          <w:b/>
          <w:bCs/>
          <w:sz w:val="30"/>
          <w:szCs w:val="30"/>
          <w:lang w:val="en-US" w:eastAsia="zh-CN"/>
        </w:rPr>
        <w:t>【新闻速递】</w:t>
      </w:r>
      <w:r>
        <w:rPr>
          <w:b/>
          <w:bCs/>
          <w:sz w:val="30"/>
          <w:szCs w:val="30"/>
        </w:rPr>
        <w:tab/>
      </w:r>
      <w:r>
        <w:rPr>
          <w:b/>
          <w:bCs/>
          <w:sz w:val="30"/>
          <w:szCs w:val="30"/>
        </w:rPr>
        <w:fldChar w:fldCharType="begin"/>
      </w:r>
      <w:r>
        <w:rPr>
          <w:b/>
          <w:bCs/>
          <w:sz w:val="30"/>
          <w:szCs w:val="30"/>
        </w:rPr>
        <w:instrText xml:space="preserve"> PAGEREF _Toc26047 </w:instrText>
      </w:r>
      <w:r>
        <w:rPr>
          <w:b/>
          <w:bCs/>
          <w:sz w:val="30"/>
          <w:szCs w:val="30"/>
        </w:rPr>
        <w:fldChar w:fldCharType="separate"/>
      </w:r>
      <w:r>
        <w:rPr>
          <w:b/>
          <w:bCs/>
          <w:sz w:val="30"/>
          <w:szCs w:val="30"/>
        </w:rPr>
        <w:t>6</w:t>
      </w:r>
      <w:r>
        <w:rPr>
          <w:b/>
          <w:bCs/>
          <w:sz w:val="30"/>
          <w:szCs w:val="30"/>
        </w:rPr>
        <w:fldChar w:fldCharType="end"/>
      </w:r>
      <w:r>
        <w:rPr>
          <w:rFonts w:hint="default"/>
          <w:b/>
          <w:bCs/>
          <w:sz w:val="30"/>
          <w:szCs w:val="30"/>
          <w:lang w:val="en-US" w:eastAsia="zh-CN"/>
        </w:rPr>
        <w:fldChar w:fldCharType="end"/>
      </w:r>
    </w:p>
    <w:p>
      <w:pPr>
        <w:pStyle w:val="9"/>
        <w:tabs>
          <w:tab w:val="right" w:leader="dot" w:pos="8306"/>
        </w:tabs>
        <w:rPr>
          <w:b/>
          <w:bCs/>
          <w:sz w:val="30"/>
          <w:szCs w:val="30"/>
        </w:rPr>
      </w:pPr>
      <w:r>
        <w:rPr>
          <w:rFonts w:hint="default"/>
          <w:b/>
          <w:bCs/>
          <w:sz w:val="30"/>
          <w:szCs w:val="30"/>
          <w:lang w:val="en-US" w:eastAsia="zh-CN"/>
        </w:rPr>
        <w:fldChar w:fldCharType="begin"/>
      </w:r>
      <w:r>
        <w:rPr>
          <w:rFonts w:hint="default"/>
          <w:b/>
          <w:bCs/>
          <w:sz w:val="30"/>
          <w:szCs w:val="30"/>
          <w:lang w:val="en-US" w:eastAsia="zh-CN"/>
        </w:rPr>
        <w:instrText xml:space="preserve"> HYPERLINK \l _Toc19919 </w:instrText>
      </w:r>
      <w:r>
        <w:rPr>
          <w:rFonts w:hint="default"/>
          <w:b/>
          <w:bCs/>
          <w:sz w:val="30"/>
          <w:szCs w:val="30"/>
          <w:lang w:val="en-US" w:eastAsia="zh-CN"/>
        </w:rPr>
        <w:fldChar w:fldCharType="separate"/>
      </w:r>
      <w:r>
        <w:rPr>
          <w:rFonts w:hint="eastAsia" w:asciiTheme="minorHAnsi" w:eastAsiaTheme="minorEastAsia"/>
          <w:b/>
          <w:bCs/>
          <w:sz w:val="30"/>
          <w:szCs w:val="30"/>
          <w:lang w:val="en-US" w:eastAsia="zh-CN"/>
        </w:rPr>
        <w:t>【专家视点】</w:t>
      </w:r>
      <w:r>
        <w:rPr>
          <w:b/>
          <w:bCs/>
          <w:sz w:val="30"/>
          <w:szCs w:val="30"/>
        </w:rPr>
        <w:tab/>
      </w:r>
      <w:r>
        <w:rPr>
          <w:b/>
          <w:bCs/>
          <w:sz w:val="30"/>
          <w:szCs w:val="30"/>
        </w:rPr>
        <w:fldChar w:fldCharType="begin"/>
      </w:r>
      <w:r>
        <w:rPr>
          <w:b/>
          <w:bCs/>
          <w:sz w:val="30"/>
          <w:szCs w:val="30"/>
        </w:rPr>
        <w:instrText xml:space="preserve"> PAGEREF _Toc19919 </w:instrText>
      </w:r>
      <w:r>
        <w:rPr>
          <w:b/>
          <w:bCs/>
          <w:sz w:val="30"/>
          <w:szCs w:val="30"/>
        </w:rPr>
        <w:fldChar w:fldCharType="separate"/>
      </w:r>
      <w:r>
        <w:rPr>
          <w:b/>
          <w:bCs/>
          <w:sz w:val="30"/>
          <w:szCs w:val="30"/>
        </w:rPr>
        <w:t>10</w:t>
      </w:r>
      <w:r>
        <w:rPr>
          <w:b/>
          <w:bCs/>
          <w:sz w:val="30"/>
          <w:szCs w:val="30"/>
        </w:rPr>
        <w:fldChar w:fldCharType="end"/>
      </w:r>
      <w:r>
        <w:rPr>
          <w:rFonts w:hint="default"/>
          <w:b/>
          <w:bCs/>
          <w:sz w:val="30"/>
          <w:szCs w:val="30"/>
          <w:lang w:val="en-US" w:eastAsia="zh-CN"/>
        </w:rPr>
        <w:fldChar w:fldCharType="end"/>
      </w:r>
    </w:p>
    <w:p>
      <w:pPr>
        <w:pStyle w:val="10"/>
        <w:tabs>
          <w:tab w:val="right" w:leader="dot" w:pos="8306"/>
        </w:tabs>
        <w:rPr>
          <w:sz w:val="30"/>
          <w:szCs w:val="30"/>
        </w:rPr>
      </w:pPr>
      <w:r>
        <w:rPr>
          <w:rFonts w:hint="default"/>
          <w:sz w:val="30"/>
          <w:szCs w:val="30"/>
          <w:lang w:val="en-US" w:eastAsia="zh-CN"/>
        </w:rPr>
        <w:fldChar w:fldCharType="begin"/>
      </w:r>
      <w:r>
        <w:rPr>
          <w:rFonts w:hint="default"/>
          <w:sz w:val="30"/>
          <w:szCs w:val="30"/>
          <w:lang w:val="en-US" w:eastAsia="zh-CN"/>
        </w:rPr>
        <w:instrText xml:space="preserve"> HYPERLINK \l _Toc20617 </w:instrText>
      </w:r>
      <w:r>
        <w:rPr>
          <w:rFonts w:hint="default"/>
          <w:sz w:val="30"/>
          <w:szCs w:val="30"/>
          <w:lang w:val="en-US" w:eastAsia="zh-CN"/>
        </w:rPr>
        <w:fldChar w:fldCharType="separate"/>
      </w:r>
      <w:r>
        <w:rPr>
          <w:rFonts w:hint="eastAsia" w:ascii="宋体" w:hAnsi="宋体" w:eastAsia="宋体" w:cs="宋体"/>
          <w:bCs/>
          <w:sz w:val="30"/>
          <w:szCs w:val="30"/>
          <w:lang w:val="en-US" w:eastAsia="zh-CN"/>
        </w:rPr>
        <w:t>王钦敏：发展电子政务是提升国家治理能力的重要抓手</w:t>
      </w:r>
      <w:r>
        <w:rPr>
          <w:sz w:val="30"/>
          <w:szCs w:val="30"/>
        </w:rPr>
        <w:tab/>
      </w:r>
      <w:r>
        <w:rPr>
          <w:sz w:val="30"/>
          <w:szCs w:val="30"/>
        </w:rPr>
        <w:fldChar w:fldCharType="begin"/>
      </w:r>
      <w:r>
        <w:rPr>
          <w:sz w:val="30"/>
          <w:szCs w:val="30"/>
        </w:rPr>
        <w:instrText xml:space="preserve"> PAGEREF _Toc20617 </w:instrText>
      </w:r>
      <w:r>
        <w:rPr>
          <w:sz w:val="30"/>
          <w:szCs w:val="30"/>
        </w:rPr>
        <w:fldChar w:fldCharType="separate"/>
      </w:r>
      <w:r>
        <w:rPr>
          <w:sz w:val="30"/>
          <w:szCs w:val="30"/>
        </w:rPr>
        <w:t>10</w:t>
      </w:r>
      <w:r>
        <w:rPr>
          <w:sz w:val="30"/>
          <w:szCs w:val="30"/>
        </w:rPr>
        <w:fldChar w:fldCharType="end"/>
      </w:r>
      <w:r>
        <w:rPr>
          <w:rFonts w:hint="default"/>
          <w:sz w:val="30"/>
          <w:szCs w:val="30"/>
          <w:lang w:val="en-US" w:eastAsia="zh-CN"/>
        </w:rPr>
        <w:fldChar w:fldCharType="end"/>
      </w:r>
    </w:p>
    <w:p>
      <w:pPr>
        <w:pStyle w:val="10"/>
        <w:tabs>
          <w:tab w:val="right" w:leader="dot" w:pos="8306"/>
        </w:tabs>
        <w:rPr>
          <w:sz w:val="30"/>
          <w:szCs w:val="30"/>
        </w:rPr>
      </w:pPr>
      <w:r>
        <w:rPr>
          <w:rFonts w:hint="default"/>
          <w:sz w:val="30"/>
          <w:szCs w:val="30"/>
          <w:lang w:val="en-US" w:eastAsia="zh-CN"/>
        </w:rPr>
        <w:fldChar w:fldCharType="begin"/>
      </w:r>
      <w:r>
        <w:rPr>
          <w:rFonts w:hint="default"/>
          <w:sz w:val="30"/>
          <w:szCs w:val="30"/>
          <w:lang w:val="en-US" w:eastAsia="zh-CN"/>
        </w:rPr>
        <w:instrText xml:space="preserve"> HYPERLINK \l _Toc24973 </w:instrText>
      </w:r>
      <w:r>
        <w:rPr>
          <w:rFonts w:hint="default"/>
          <w:sz w:val="30"/>
          <w:szCs w:val="30"/>
          <w:lang w:val="en-US" w:eastAsia="zh-CN"/>
        </w:rPr>
        <w:fldChar w:fldCharType="separate"/>
      </w:r>
      <w:r>
        <w:rPr>
          <w:rFonts w:hint="eastAsia" w:ascii="宋体" w:hAnsi="宋体" w:eastAsia="宋体" w:cs="宋体"/>
          <w:bCs/>
          <w:sz w:val="30"/>
          <w:szCs w:val="30"/>
          <w:lang w:val="en-US" w:eastAsia="zh-CN"/>
        </w:rPr>
        <w:t>王丽娜：国策数据，为政府数据资产赋能</w:t>
      </w:r>
      <w:r>
        <w:rPr>
          <w:sz w:val="30"/>
          <w:szCs w:val="30"/>
        </w:rPr>
        <w:tab/>
      </w:r>
      <w:r>
        <w:rPr>
          <w:sz w:val="30"/>
          <w:szCs w:val="30"/>
        </w:rPr>
        <w:fldChar w:fldCharType="begin"/>
      </w:r>
      <w:r>
        <w:rPr>
          <w:sz w:val="30"/>
          <w:szCs w:val="30"/>
        </w:rPr>
        <w:instrText xml:space="preserve"> PAGEREF _Toc24973 </w:instrText>
      </w:r>
      <w:r>
        <w:rPr>
          <w:sz w:val="30"/>
          <w:szCs w:val="30"/>
        </w:rPr>
        <w:fldChar w:fldCharType="separate"/>
      </w:r>
      <w:r>
        <w:rPr>
          <w:sz w:val="30"/>
          <w:szCs w:val="30"/>
        </w:rPr>
        <w:t>1</w:t>
      </w:r>
      <w:r>
        <w:rPr>
          <w:rFonts w:hint="eastAsia"/>
          <w:sz w:val="30"/>
          <w:szCs w:val="30"/>
          <w:lang w:val="en-US" w:eastAsia="zh-CN"/>
        </w:rPr>
        <w:t>6</w:t>
      </w:r>
      <w:r>
        <w:rPr>
          <w:sz w:val="30"/>
          <w:szCs w:val="30"/>
        </w:rPr>
        <w:fldChar w:fldCharType="end"/>
      </w:r>
      <w:r>
        <w:rPr>
          <w:rFonts w:hint="default"/>
          <w:sz w:val="30"/>
          <w:szCs w:val="30"/>
          <w:lang w:val="en-US" w:eastAsia="zh-CN"/>
        </w:rPr>
        <w:fldChar w:fldCharType="end"/>
      </w:r>
    </w:p>
    <w:p>
      <w:pPr>
        <w:pStyle w:val="10"/>
        <w:tabs>
          <w:tab w:val="right" w:leader="dot" w:pos="8306"/>
        </w:tabs>
        <w:rPr>
          <w:sz w:val="30"/>
          <w:szCs w:val="30"/>
        </w:rPr>
      </w:pPr>
      <w:r>
        <w:rPr>
          <w:rFonts w:hint="default"/>
          <w:sz w:val="30"/>
          <w:szCs w:val="30"/>
          <w:lang w:val="en-US" w:eastAsia="zh-CN"/>
        </w:rPr>
        <w:fldChar w:fldCharType="begin"/>
      </w:r>
      <w:r>
        <w:rPr>
          <w:rFonts w:hint="default"/>
          <w:sz w:val="30"/>
          <w:szCs w:val="30"/>
          <w:lang w:val="en-US" w:eastAsia="zh-CN"/>
        </w:rPr>
        <w:instrText xml:space="preserve"> HYPERLINK \l _Toc17688 </w:instrText>
      </w:r>
      <w:r>
        <w:rPr>
          <w:rFonts w:hint="default"/>
          <w:sz w:val="30"/>
          <w:szCs w:val="30"/>
          <w:lang w:val="en-US" w:eastAsia="zh-CN"/>
        </w:rPr>
        <w:fldChar w:fldCharType="separate"/>
      </w:r>
      <w:r>
        <w:rPr>
          <w:rFonts w:hint="eastAsia" w:ascii="宋体" w:hAnsi="宋体" w:eastAsia="宋体" w:cs="宋体"/>
          <w:bCs/>
          <w:sz w:val="30"/>
          <w:szCs w:val="30"/>
          <w:lang w:val="en-US" w:eastAsia="zh-CN"/>
        </w:rPr>
        <w:t>实施制造强国战略亟需发展壮大自主仿真软件产业</w:t>
      </w:r>
      <w:r>
        <w:rPr>
          <w:sz w:val="30"/>
          <w:szCs w:val="30"/>
        </w:rPr>
        <w:tab/>
      </w:r>
      <w:r>
        <w:rPr>
          <w:sz w:val="30"/>
          <w:szCs w:val="30"/>
        </w:rPr>
        <w:fldChar w:fldCharType="begin"/>
      </w:r>
      <w:r>
        <w:rPr>
          <w:sz w:val="30"/>
          <w:szCs w:val="30"/>
        </w:rPr>
        <w:instrText xml:space="preserve"> PAGEREF _Toc17688 </w:instrText>
      </w:r>
      <w:r>
        <w:rPr>
          <w:sz w:val="30"/>
          <w:szCs w:val="30"/>
        </w:rPr>
        <w:fldChar w:fldCharType="separate"/>
      </w:r>
      <w:r>
        <w:rPr>
          <w:sz w:val="30"/>
          <w:szCs w:val="30"/>
        </w:rPr>
        <w:t>20</w:t>
      </w:r>
      <w:r>
        <w:rPr>
          <w:sz w:val="30"/>
          <w:szCs w:val="30"/>
        </w:rPr>
        <w:fldChar w:fldCharType="end"/>
      </w:r>
      <w:r>
        <w:rPr>
          <w:rFonts w:hint="default"/>
          <w:sz w:val="30"/>
          <w:szCs w:val="30"/>
          <w:lang w:val="en-US" w:eastAsia="zh-CN"/>
        </w:rPr>
        <w:fldChar w:fldCharType="end"/>
      </w:r>
    </w:p>
    <w:p>
      <w:pPr>
        <w:pStyle w:val="9"/>
        <w:tabs>
          <w:tab w:val="right" w:leader="dot" w:pos="8306"/>
        </w:tabs>
        <w:rPr>
          <w:b/>
          <w:bCs/>
          <w:sz w:val="30"/>
          <w:szCs w:val="30"/>
        </w:rPr>
      </w:pPr>
      <w:r>
        <w:rPr>
          <w:rFonts w:hint="default"/>
          <w:b/>
          <w:bCs/>
          <w:sz w:val="30"/>
          <w:szCs w:val="30"/>
          <w:lang w:val="en-US" w:eastAsia="zh-CN"/>
        </w:rPr>
        <w:fldChar w:fldCharType="begin"/>
      </w:r>
      <w:r>
        <w:rPr>
          <w:rFonts w:hint="default"/>
          <w:b/>
          <w:bCs/>
          <w:sz w:val="30"/>
          <w:szCs w:val="30"/>
          <w:lang w:val="en-US" w:eastAsia="zh-CN"/>
        </w:rPr>
        <w:instrText xml:space="preserve"> HYPERLINK \l _Toc28704 </w:instrText>
      </w:r>
      <w:r>
        <w:rPr>
          <w:rFonts w:hint="default"/>
          <w:b/>
          <w:bCs/>
          <w:sz w:val="30"/>
          <w:szCs w:val="30"/>
          <w:lang w:val="en-US" w:eastAsia="zh-CN"/>
        </w:rPr>
        <w:fldChar w:fldCharType="separate"/>
      </w:r>
      <w:r>
        <w:rPr>
          <w:rFonts w:hint="eastAsia" w:asciiTheme="minorHAnsi" w:eastAsiaTheme="minorEastAsia"/>
          <w:b/>
          <w:bCs/>
          <w:sz w:val="30"/>
          <w:szCs w:val="30"/>
          <w:lang w:val="en-US" w:eastAsia="zh-CN"/>
        </w:rPr>
        <w:t>【政策选集】</w:t>
      </w:r>
      <w:r>
        <w:rPr>
          <w:b/>
          <w:bCs/>
          <w:sz w:val="30"/>
          <w:szCs w:val="30"/>
        </w:rPr>
        <w:tab/>
      </w:r>
      <w:r>
        <w:rPr>
          <w:b/>
          <w:bCs/>
          <w:sz w:val="30"/>
          <w:szCs w:val="30"/>
        </w:rPr>
        <w:fldChar w:fldCharType="begin"/>
      </w:r>
      <w:r>
        <w:rPr>
          <w:b/>
          <w:bCs/>
          <w:sz w:val="30"/>
          <w:szCs w:val="30"/>
        </w:rPr>
        <w:instrText xml:space="preserve"> PAGEREF _Toc28704 </w:instrText>
      </w:r>
      <w:r>
        <w:rPr>
          <w:b/>
          <w:bCs/>
          <w:sz w:val="30"/>
          <w:szCs w:val="30"/>
        </w:rPr>
        <w:fldChar w:fldCharType="separate"/>
      </w:r>
      <w:r>
        <w:rPr>
          <w:b/>
          <w:bCs/>
          <w:sz w:val="30"/>
          <w:szCs w:val="30"/>
        </w:rPr>
        <w:t>2</w:t>
      </w:r>
      <w:r>
        <w:rPr>
          <w:rFonts w:hint="eastAsia"/>
          <w:b/>
          <w:bCs/>
          <w:sz w:val="30"/>
          <w:szCs w:val="30"/>
          <w:lang w:val="en-US" w:eastAsia="zh-CN"/>
        </w:rPr>
        <w:t>6</w:t>
      </w:r>
      <w:r>
        <w:rPr>
          <w:b/>
          <w:bCs/>
          <w:sz w:val="30"/>
          <w:szCs w:val="30"/>
        </w:rPr>
        <w:fldChar w:fldCharType="end"/>
      </w:r>
      <w:r>
        <w:rPr>
          <w:rFonts w:hint="default"/>
          <w:b/>
          <w:bCs/>
          <w:sz w:val="30"/>
          <w:szCs w:val="30"/>
          <w:lang w:val="en-US" w:eastAsia="zh-CN"/>
        </w:rPr>
        <w:fldChar w:fldCharType="end"/>
      </w:r>
    </w:p>
    <w:p>
      <w:pPr>
        <w:pStyle w:val="10"/>
        <w:tabs>
          <w:tab w:val="right" w:leader="dot" w:pos="8306"/>
        </w:tabs>
        <w:rPr>
          <w:rFonts w:hint="default"/>
          <w:sz w:val="30"/>
          <w:szCs w:val="30"/>
          <w:lang w:val="en-US"/>
        </w:rPr>
      </w:pPr>
      <w:r>
        <w:rPr>
          <w:rFonts w:hint="default"/>
          <w:sz w:val="30"/>
          <w:szCs w:val="30"/>
          <w:lang w:val="en-US" w:eastAsia="zh-CN"/>
        </w:rPr>
        <w:fldChar w:fldCharType="begin"/>
      </w:r>
      <w:r>
        <w:rPr>
          <w:rFonts w:hint="default"/>
          <w:sz w:val="30"/>
          <w:szCs w:val="30"/>
          <w:lang w:val="en-US" w:eastAsia="zh-CN"/>
        </w:rPr>
        <w:instrText xml:space="preserve"> HYPERLINK \l _Toc25021 </w:instrText>
      </w:r>
      <w:r>
        <w:rPr>
          <w:rFonts w:hint="default"/>
          <w:sz w:val="30"/>
          <w:szCs w:val="30"/>
          <w:lang w:val="en-US" w:eastAsia="zh-CN"/>
        </w:rPr>
        <w:fldChar w:fldCharType="separate"/>
      </w:r>
      <w:r>
        <w:rPr>
          <w:rFonts w:hint="eastAsia" w:ascii="宋体" w:hAnsi="宋体" w:eastAsia="宋体" w:cs="宋体"/>
          <w:bCs/>
          <w:sz w:val="30"/>
          <w:szCs w:val="30"/>
          <w:lang w:val="en-US" w:eastAsia="zh-CN"/>
        </w:rPr>
        <w:t>四部委联合发布 《App违法违规收集使用个人信息行为认定方法》</w:t>
      </w:r>
      <w:r>
        <w:rPr>
          <w:sz w:val="30"/>
          <w:szCs w:val="30"/>
        </w:rPr>
        <w:tab/>
      </w:r>
      <w:r>
        <w:rPr>
          <w:rFonts w:hint="eastAsia"/>
          <w:sz w:val="30"/>
          <w:szCs w:val="30"/>
          <w:lang w:val="en-US" w:eastAsia="zh-CN"/>
        </w:rPr>
        <w:t>2</w:t>
      </w:r>
      <w:r>
        <w:rPr>
          <w:rFonts w:hint="default"/>
          <w:sz w:val="30"/>
          <w:szCs w:val="30"/>
          <w:lang w:val="en-US" w:eastAsia="zh-CN"/>
        </w:rPr>
        <w:fldChar w:fldCharType="end"/>
      </w:r>
      <w:r>
        <w:rPr>
          <w:rFonts w:hint="eastAsia"/>
          <w:sz w:val="30"/>
          <w:szCs w:val="30"/>
          <w:lang w:val="en-US" w:eastAsia="zh-CN"/>
        </w:rPr>
        <w:t>6</w:t>
      </w:r>
    </w:p>
    <w:p>
      <w:pPr>
        <w:pStyle w:val="9"/>
        <w:tabs>
          <w:tab w:val="right" w:leader="dot" w:pos="8306"/>
        </w:tabs>
        <w:rPr>
          <w:sz w:val="30"/>
          <w:szCs w:val="30"/>
        </w:rPr>
      </w:pPr>
      <w:r>
        <w:rPr>
          <w:rFonts w:hint="default"/>
          <w:b/>
          <w:bCs/>
          <w:sz w:val="30"/>
          <w:szCs w:val="30"/>
          <w:lang w:val="en-US" w:eastAsia="zh-CN"/>
        </w:rPr>
        <w:fldChar w:fldCharType="begin"/>
      </w:r>
      <w:r>
        <w:rPr>
          <w:rFonts w:hint="default"/>
          <w:b/>
          <w:bCs/>
          <w:sz w:val="30"/>
          <w:szCs w:val="30"/>
          <w:lang w:val="en-US" w:eastAsia="zh-CN"/>
        </w:rPr>
        <w:instrText xml:space="preserve"> HYPERLINK \l _Toc6584 </w:instrText>
      </w:r>
      <w:r>
        <w:rPr>
          <w:rFonts w:hint="default"/>
          <w:b/>
          <w:bCs/>
          <w:sz w:val="30"/>
          <w:szCs w:val="30"/>
          <w:lang w:val="en-US" w:eastAsia="zh-CN"/>
        </w:rPr>
        <w:fldChar w:fldCharType="separate"/>
      </w:r>
      <w:r>
        <w:rPr>
          <w:rFonts w:hint="eastAsia" w:asciiTheme="minorHAnsi" w:eastAsiaTheme="minorEastAsia"/>
          <w:b/>
          <w:bCs/>
          <w:sz w:val="30"/>
          <w:szCs w:val="30"/>
          <w:lang w:val="en-US" w:eastAsia="zh-CN"/>
        </w:rPr>
        <w:t>【</w:t>
      </w:r>
      <w:r>
        <w:rPr>
          <w:rFonts w:hint="eastAsia"/>
          <w:b/>
          <w:bCs/>
          <w:sz w:val="30"/>
          <w:szCs w:val="30"/>
          <w:lang w:val="en-US" w:eastAsia="zh-CN"/>
        </w:rPr>
        <w:t>峰会精选</w:t>
      </w:r>
      <w:r>
        <w:rPr>
          <w:rFonts w:hint="eastAsia" w:asciiTheme="minorHAnsi" w:eastAsiaTheme="minorEastAsia"/>
          <w:b/>
          <w:bCs/>
          <w:sz w:val="30"/>
          <w:szCs w:val="30"/>
          <w:lang w:val="en-US" w:eastAsia="zh-CN"/>
        </w:rPr>
        <w:t>】</w:t>
      </w:r>
      <w:r>
        <w:rPr>
          <w:b/>
          <w:bCs/>
          <w:sz w:val="30"/>
          <w:szCs w:val="30"/>
        </w:rPr>
        <w:tab/>
      </w:r>
      <w:r>
        <w:rPr>
          <w:b/>
          <w:bCs/>
          <w:sz w:val="30"/>
          <w:szCs w:val="30"/>
        </w:rPr>
        <w:fldChar w:fldCharType="begin"/>
      </w:r>
      <w:r>
        <w:rPr>
          <w:b/>
          <w:bCs/>
          <w:sz w:val="30"/>
          <w:szCs w:val="30"/>
        </w:rPr>
        <w:instrText xml:space="preserve"> PAGEREF _Toc6584 </w:instrText>
      </w:r>
      <w:r>
        <w:rPr>
          <w:b/>
          <w:bCs/>
          <w:sz w:val="30"/>
          <w:szCs w:val="30"/>
        </w:rPr>
        <w:fldChar w:fldCharType="separate"/>
      </w:r>
      <w:r>
        <w:rPr>
          <w:b/>
          <w:bCs/>
          <w:sz w:val="30"/>
          <w:szCs w:val="30"/>
        </w:rPr>
        <w:t>28</w:t>
      </w:r>
      <w:r>
        <w:rPr>
          <w:b/>
          <w:bCs/>
          <w:sz w:val="30"/>
          <w:szCs w:val="30"/>
        </w:rPr>
        <w:fldChar w:fldCharType="end"/>
      </w:r>
      <w:r>
        <w:rPr>
          <w:rFonts w:hint="default"/>
          <w:b/>
          <w:bCs/>
          <w:sz w:val="30"/>
          <w:szCs w:val="30"/>
          <w:lang w:val="en-US" w:eastAsia="zh-CN"/>
        </w:rPr>
        <w:fldChar w:fldCharType="end"/>
      </w:r>
    </w:p>
    <w:p>
      <w:pPr>
        <w:pStyle w:val="10"/>
        <w:tabs>
          <w:tab w:val="right" w:leader="dot" w:pos="8306"/>
        </w:tabs>
        <w:rPr>
          <w:sz w:val="30"/>
          <w:szCs w:val="30"/>
        </w:rPr>
      </w:pPr>
      <w:r>
        <w:rPr>
          <w:rFonts w:hint="default"/>
          <w:sz w:val="30"/>
          <w:szCs w:val="30"/>
          <w:lang w:val="en-US" w:eastAsia="zh-CN"/>
        </w:rPr>
        <w:fldChar w:fldCharType="begin"/>
      </w:r>
      <w:r>
        <w:rPr>
          <w:rFonts w:hint="default"/>
          <w:sz w:val="30"/>
          <w:szCs w:val="30"/>
          <w:lang w:val="en-US" w:eastAsia="zh-CN"/>
        </w:rPr>
        <w:instrText xml:space="preserve"> HYPERLINK \l _Toc23679 </w:instrText>
      </w:r>
      <w:r>
        <w:rPr>
          <w:rFonts w:hint="default"/>
          <w:sz w:val="30"/>
          <w:szCs w:val="30"/>
          <w:lang w:val="en-US" w:eastAsia="zh-CN"/>
        </w:rPr>
        <w:fldChar w:fldCharType="separate"/>
      </w:r>
      <w:r>
        <w:rPr>
          <w:rFonts w:hint="eastAsia" w:asciiTheme="minorHAnsi" w:eastAsiaTheme="minorEastAsia"/>
          <w:bCs/>
          <w:sz w:val="30"/>
          <w:szCs w:val="30"/>
          <w:lang w:val="en-US" w:eastAsia="zh-CN"/>
        </w:rPr>
        <w:t>数字福建分论坛——数字福建新时代 新动能 新发展</w:t>
      </w:r>
      <w:r>
        <w:rPr>
          <w:sz w:val="30"/>
          <w:szCs w:val="30"/>
        </w:rPr>
        <w:tab/>
      </w:r>
      <w:r>
        <w:rPr>
          <w:sz w:val="30"/>
          <w:szCs w:val="30"/>
        </w:rPr>
        <w:fldChar w:fldCharType="begin"/>
      </w:r>
      <w:r>
        <w:rPr>
          <w:sz w:val="30"/>
          <w:szCs w:val="30"/>
        </w:rPr>
        <w:instrText xml:space="preserve"> PAGEREF _Toc23679 </w:instrText>
      </w:r>
      <w:r>
        <w:rPr>
          <w:sz w:val="30"/>
          <w:szCs w:val="30"/>
        </w:rPr>
        <w:fldChar w:fldCharType="separate"/>
      </w:r>
      <w:r>
        <w:rPr>
          <w:sz w:val="30"/>
          <w:szCs w:val="30"/>
        </w:rPr>
        <w:t>28</w:t>
      </w:r>
      <w:r>
        <w:rPr>
          <w:sz w:val="30"/>
          <w:szCs w:val="30"/>
        </w:rPr>
        <w:fldChar w:fldCharType="end"/>
      </w:r>
      <w:r>
        <w:rPr>
          <w:rFonts w:hint="default"/>
          <w:sz w:val="30"/>
          <w:szCs w:val="30"/>
          <w:lang w:val="en-US" w:eastAsia="zh-CN"/>
        </w:rPr>
        <w:fldChar w:fldCharType="end"/>
      </w:r>
    </w:p>
    <w:p>
      <w:pPr>
        <w:pStyle w:val="10"/>
        <w:tabs>
          <w:tab w:val="right" w:leader="dot" w:pos="8306"/>
        </w:tabs>
        <w:rPr>
          <w:rFonts w:hint="default"/>
          <w:sz w:val="30"/>
          <w:szCs w:val="30"/>
          <w:lang w:val="en-US"/>
        </w:rPr>
      </w:pPr>
      <w:r>
        <w:rPr>
          <w:rFonts w:hint="default"/>
          <w:sz w:val="30"/>
          <w:szCs w:val="30"/>
          <w:lang w:val="en-US" w:eastAsia="zh-CN"/>
        </w:rPr>
        <w:fldChar w:fldCharType="begin"/>
      </w:r>
      <w:r>
        <w:rPr>
          <w:rFonts w:hint="default"/>
          <w:sz w:val="30"/>
          <w:szCs w:val="30"/>
          <w:lang w:val="en-US" w:eastAsia="zh-CN"/>
        </w:rPr>
        <w:instrText xml:space="preserve"> HYPERLINK \l _Toc24690 </w:instrText>
      </w:r>
      <w:r>
        <w:rPr>
          <w:rFonts w:hint="default"/>
          <w:sz w:val="30"/>
          <w:szCs w:val="30"/>
          <w:lang w:val="en-US" w:eastAsia="zh-CN"/>
        </w:rPr>
        <w:fldChar w:fldCharType="separate"/>
      </w:r>
      <w:r>
        <w:rPr>
          <w:rFonts w:hint="eastAsia" w:asciiTheme="minorHAnsi" w:eastAsiaTheme="minorEastAsia"/>
          <w:bCs/>
          <w:sz w:val="30"/>
          <w:szCs w:val="30"/>
          <w:lang w:val="en-US" w:eastAsia="zh-CN"/>
        </w:rPr>
        <w:t>＂数字福建＂信息应用服务基础设施建设</w:t>
      </w:r>
      <w:r>
        <w:rPr>
          <w:sz w:val="30"/>
          <w:szCs w:val="30"/>
        </w:rPr>
        <w:tab/>
      </w:r>
      <w:r>
        <w:rPr>
          <w:rFonts w:hint="eastAsia"/>
          <w:sz w:val="30"/>
          <w:szCs w:val="30"/>
          <w:lang w:val="en-US" w:eastAsia="zh-CN"/>
        </w:rPr>
        <w:t>3</w:t>
      </w:r>
      <w:r>
        <w:rPr>
          <w:rFonts w:hint="default"/>
          <w:sz w:val="30"/>
          <w:szCs w:val="30"/>
          <w:lang w:val="en-US" w:eastAsia="zh-CN"/>
        </w:rPr>
        <w:fldChar w:fldCharType="end"/>
      </w:r>
      <w:r>
        <w:rPr>
          <w:rFonts w:hint="eastAsia"/>
          <w:sz w:val="30"/>
          <w:szCs w:val="30"/>
          <w:lang w:val="en-US" w:eastAsia="zh-CN"/>
        </w:rPr>
        <w:t>2</w:t>
      </w:r>
    </w:p>
    <w:p>
      <w:pPr>
        <w:pStyle w:val="9"/>
        <w:tabs>
          <w:tab w:val="right" w:leader="dot" w:pos="8306"/>
        </w:tabs>
        <w:rPr>
          <w:rFonts w:hint="default"/>
          <w:b/>
          <w:bCs/>
          <w:sz w:val="30"/>
          <w:szCs w:val="30"/>
          <w:lang w:val="en-US"/>
        </w:rPr>
      </w:pPr>
      <w:r>
        <w:rPr>
          <w:rFonts w:hint="default"/>
          <w:b/>
          <w:bCs/>
          <w:sz w:val="30"/>
          <w:szCs w:val="30"/>
          <w:lang w:val="en-US" w:eastAsia="zh-CN"/>
        </w:rPr>
        <w:fldChar w:fldCharType="begin"/>
      </w:r>
      <w:r>
        <w:rPr>
          <w:rFonts w:hint="default"/>
          <w:b/>
          <w:bCs/>
          <w:sz w:val="30"/>
          <w:szCs w:val="30"/>
          <w:lang w:val="en-US" w:eastAsia="zh-CN"/>
        </w:rPr>
        <w:instrText xml:space="preserve"> HYPERLINK \l _Toc2676 </w:instrText>
      </w:r>
      <w:r>
        <w:rPr>
          <w:rFonts w:hint="default"/>
          <w:b/>
          <w:bCs/>
          <w:sz w:val="30"/>
          <w:szCs w:val="30"/>
          <w:lang w:val="en-US" w:eastAsia="zh-CN"/>
        </w:rPr>
        <w:fldChar w:fldCharType="separate"/>
      </w:r>
      <w:r>
        <w:rPr>
          <w:rFonts w:hint="eastAsia" w:asciiTheme="minorHAnsi" w:eastAsiaTheme="minorEastAsia"/>
          <w:b/>
          <w:bCs/>
          <w:sz w:val="30"/>
          <w:szCs w:val="30"/>
          <w:lang w:val="en-US" w:eastAsia="zh-CN"/>
        </w:rPr>
        <w:t>【</w:t>
      </w:r>
      <w:r>
        <w:rPr>
          <w:rFonts w:hint="eastAsia" w:asciiTheme="minorHAnsi" w:eastAsiaTheme="minorEastAsia"/>
          <w:b/>
          <w:bCs/>
          <w:sz w:val="30"/>
          <w:szCs w:val="30"/>
          <w:highlight w:val="none"/>
          <w:lang w:val="en-US" w:eastAsia="zh-CN"/>
        </w:rPr>
        <w:t>地方实践</w:t>
      </w:r>
      <w:r>
        <w:rPr>
          <w:rFonts w:hint="eastAsia" w:asciiTheme="minorHAnsi" w:eastAsiaTheme="minorEastAsia"/>
          <w:b/>
          <w:bCs/>
          <w:sz w:val="30"/>
          <w:szCs w:val="30"/>
          <w:lang w:val="en-US" w:eastAsia="zh-CN"/>
        </w:rPr>
        <w:t>】</w:t>
      </w:r>
      <w:r>
        <w:rPr>
          <w:b/>
          <w:bCs/>
          <w:sz w:val="30"/>
          <w:szCs w:val="30"/>
        </w:rPr>
        <w:tab/>
      </w:r>
      <w:r>
        <w:rPr>
          <w:rFonts w:hint="eastAsia"/>
          <w:b/>
          <w:bCs/>
          <w:sz w:val="30"/>
          <w:szCs w:val="30"/>
          <w:lang w:val="en-US" w:eastAsia="zh-CN"/>
        </w:rPr>
        <w:t>3</w:t>
      </w:r>
      <w:r>
        <w:rPr>
          <w:rFonts w:hint="default"/>
          <w:b/>
          <w:bCs/>
          <w:sz w:val="30"/>
          <w:szCs w:val="30"/>
          <w:lang w:val="en-US" w:eastAsia="zh-CN"/>
        </w:rPr>
        <w:fldChar w:fldCharType="end"/>
      </w:r>
      <w:r>
        <w:rPr>
          <w:rFonts w:hint="eastAsia"/>
          <w:b/>
          <w:bCs/>
          <w:sz w:val="30"/>
          <w:szCs w:val="30"/>
          <w:lang w:val="en-US" w:eastAsia="zh-CN"/>
        </w:rPr>
        <w:t>8</w:t>
      </w:r>
    </w:p>
    <w:p>
      <w:pPr>
        <w:pStyle w:val="9"/>
        <w:tabs>
          <w:tab w:val="right" w:leader="dot" w:pos="8306"/>
        </w:tabs>
        <w:rPr>
          <w:rFonts w:hint="default"/>
          <w:b/>
          <w:bCs/>
          <w:sz w:val="30"/>
          <w:szCs w:val="30"/>
          <w:lang w:val="en-US"/>
        </w:rPr>
      </w:pPr>
      <w:r>
        <w:rPr>
          <w:rFonts w:hint="default"/>
          <w:b/>
          <w:bCs/>
          <w:sz w:val="30"/>
          <w:szCs w:val="30"/>
          <w:lang w:val="en-US" w:eastAsia="zh-CN"/>
        </w:rPr>
        <w:fldChar w:fldCharType="begin"/>
      </w:r>
      <w:r>
        <w:rPr>
          <w:rFonts w:hint="default"/>
          <w:b/>
          <w:bCs/>
          <w:sz w:val="30"/>
          <w:szCs w:val="30"/>
          <w:lang w:val="en-US" w:eastAsia="zh-CN"/>
        </w:rPr>
        <w:instrText xml:space="preserve"> HYPERLINK \l _Toc23243 </w:instrText>
      </w:r>
      <w:r>
        <w:rPr>
          <w:rFonts w:hint="default"/>
          <w:b/>
          <w:bCs/>
          <w:sz w:val="30"/>
          <w:szCs w:val="30"/>
          <w:lang w:val="en-US" w:eastAsia="zh-CN"/>
        </w:rPr>
        <w:fldChar w:fldCharType="separate"/>
      </w:r>
      <w:r>
        <w:rPr>
          <w:rFonts w:hint="eastAsia" w:asciiTheme="minorHAnsi" w:eastAsiaTheme="minorEastAsia"/>
          <w:b/>
          <w:bCs/>
          <w:sz w:val="30"/>
          <w:szCs w:val="30"/>
          <w:lang w:val="en-US" w:eastAsia="zh-CN"/>
        </w:rPr>
        <w:t>【</w:t>
      </w:r>
      <w:r>
        <w:rPr>
          <w:rFonts w:hint="eastAsia"/>
          <w:b/>
          <w:bCs/>
          <w:sz w:val="30"/>
          <w:szCs w:val="30"/>
          <w:lang w:val="en-US" w:eastAsia="zh-CN"/>
        </w:rPr>
        <w:t>深度报告</w:t>
      </w:r>
      <w:r>
        <w:rPr>
          <w:rFonts w:hint="eastAsia" w:asciiTheme="minorHAnsi" w:eastAsiaTheme="minorEastAsia"/>
          <w:b/>
          <w:bCs/>
          <w:sz w:val="30"/>
          <w:szCs w:val="30"/>
          <w:lang w:val="en-US" w:eastAsia="zh-CN"/>
        </w:rPr>
        <w:t>】</w:t>
      </w:r>
      <w:r>
        <w:rPr>
          <w:b/>
          <w:bCs/>
          <w:sz w:val="30"/>
          <w:szCs w:val="30"/>
        </w:rPr>
        <w:tab/>
      </w:r>
      <w:r>
        <w:rPr>
          <w:rFonts w:hint="eastAsia"/>
          <w:b/>
          <w:bCs/>
          <w:sz w:val="30"/>
          <w:szCs w:val="30"/>
          <w:lang w:val="en-US" w:eastAsia="zh-CN"/>
        </w:rPr>
        <w:t>4</w:t>
      </w:r>
      <w:r>
        <w:rPr>
          <w:rFonts w:hint="default"/>
          <w:b/>
          <w:bCs/>
          <w:sz w:val="30"/>
          <w:szCs w:val="30"/>
          <w:lang w:val="en-US" w:eastAsia="zh-CN"/>
        </w:rPr>
        <w:fldChar w:fldCharType="end"/>
      </w:r>
      <w:r>
        <w:rPr>
          <w:rFonts w:hint="eastAsia"/>
          <w:b/>
          <w:bCs/>
          <w:sz w:val="30"/>
          <w:szCs w:val="30"/>
          <w:lang w:val="en-US" w:eastAsia="zh-CN"/>
        </w:rPr>
        <w:t>2</w:t>
      </w:r>
    </w:p>
    <w:p>
      <w:pPr>
        <w:pStyle w:val="10"/>
        <w:tabs>
          <w:tab w:val="right" w:leader="dot" w:pos="8306"/>
        </w:tabs>
        <w:rPr>
          <w:sz w:val="30"/>
          <w:szCs w:val="30"/>
        </w:rPr>
      </w:pPr>
      <w:r>
        <w:rPr>
          <w:rFonts w:hint="default"/>
          <w:sz w:val="30"/>
          <w:szCs w:val="30"/>
          <w:lang w:val="en-US" w:eastAsia="zh-CN"/>
        </w:rPr>
        <w:fldChar w:fldCharType="begin"/>
      </w:r>
      <w:r>
        <w:rPr>
          <w:rFonts w:hint="default"/>
          <w:sz w:val="30"/>
          <w:szCs w:val="30"/>
          <w:lang w:val="en-US" w:eastAsia="zh-CN"/>
        </w:rPr>
        <w:instrText xml:space="preserve"> HYPERLINK \l _Toc28380 </w:instrText>
      </w:r>
      <w:r>
        <w:rPr>
          <w:rFonts w:hint="default"/>
          <w:sz w:val="30"/>
          <w:szCs w:val="30"/>
          <w:lang w:val="en-US" w:eastAsia="zh-CN"/>
        </w:rPr>
        <w:fldChar w:fldCharType="separate"/>
      </w:r>
      <w:r>
        <w:rPr>
          <w:rFonts w:hint="eastAsia" w:ascii="Microsoft YaHei UI" w:hAnsi="Microsoft YaHei UI" w:eastAsia="Microsoft YaHei UI" w:cs="Microsoft YaHei UI"/>
          <w:i w:val="0"/>
          <w:caps w:val="0"/>
          <w:spacing w:val="8"/>
          <w:sz w:val="30"/>
          <w:szCs w:val="30"/>
          <w:shd w:val="clear" w:fill="FFFFFF"/>
        </w:rPr>
        <w:t>《中国人工智能专利价值及竞争力报告》发布</w:t>
      </w:r>
      <w:r>
        <w:rPr>
          <w:sz w:val="30"/>
          <w:szCs w:val="30"/>
        </w:rPr>
        <w:tab/>
      </w:r>
      <w:r>
        <w:rPr>
          <w:sz w:val="30"/>
          <w:szCs w:val="30"/>
        </w:rPr>
        <w:fldChar w:fldCharType="begin"/>
      </w:r>
      <w:r>
        <w:rPr>
          <w:sz w:val="30"/>
          <w:szCs w:val="30"/>
        </w:rPr>
        <w:instrText xml:space="preserve"> PAGEREF _Toc28380 </w:instrText>
      </w:r>
      <w:r>
        <w:rPr>
          <w:sz w:val="30"/>
          <w:szCs w:val="30"/>
        </w:rPr>
        <w:fldChar w:fldCharType="separate"/>
      </w:r>
      <w:r>
        <w:rPr>
          <w:sz w:val="30"/>
          <w:szCs w:val="30"/>
        </w:rPr>
        <w:t>45</w:t>
      </w:r>
      <w:r>
        <w:rPr>
          <w:sz w:val="30"/>
          <w:szCs w:val="30"/>
        </w:rPr>
        <w:fldChar w:fldCharType="end"/>
      </w:r>
      <w:r>
        <w:rPr>
          <w:rFonts w:hint="default"/>
          <w:sz w:val="30"/>
          <w:szCs w:val="30"/>
          <w:lang w:val="en-US" w:eastAsia="zh-CN"/>
        </w:rPr>
        <w:fldChar w:fldCharType="end"/>
      </w:r>
    </w:p>
    <w:p>
      <w:pPr>
        <w:pStyle w:val="10"/>
        <w:tabs>
          <w:tab w:val="right" w:leader="dot" w:pos="8306"/>
        </w:tabs>
        <w:rPr>
          <w:rFonts w:hint="default"/>
          <w:sz w:val="30"/>
          <w:szCs w:val="30"/>
          <w:lang w:val="en-US"/>
        </w:rPr>
      </w:pPr>
      <w:r>
        <w:rPr>
          <w:rFonts w:hint="default"/>
          <w:sz w:val="30"/>
          <w:szCs w:val="30"/>
          <w:lang w:val="en-US" w:eastAsia="zh-CN"/>
        </w:rPr>
        <w:fldChar w:fldCharType="begin"/>
      </w:r>
      <w:r>
        <w:rPr>
          <w:rFonts w:hint="default"/>
          <w:sz w:val="30"/>
          <w:szCs w:val="30"/>
          <w:lang w:val="en-US" w:eastAsia="zh-CN"/>
        </w:rPr>
        <w:instrText xml:space="preserve"> HYPERLINK \l _Toc4826 </w:instrText>
      </w:r>
      <w:r>
        <w:rPr>
          <w:rFonts w:hint="default"/>
          <w:sz w:val="30"/>
          <w:szCs w:val="30"/>
          <w:lang w:val="en-US" w:eastAsia="zh-CN"/>
        </w:rPr>
        <w:fldChar w:fldCharType="separate"/>
      </w:r>
      <w:r>
        <w:rPr>
          <w:rFonts w:hint="eastAsia" w:ascii="宋体" w:hAnsi="宋体" w:eastAsia="宋体" w:cs="宋体"/>
          <w:bCs/>
          <w:i w:val="0"/>
          <w:kern w:val="2"/>
          <w:sz w:val="30"/>
          <w:szCs w:val="30"/>
          <w:lang w:val="en-US" w:eastAsia="zh-CN" w:bidi="ar-SA"/>
        </w:rPr>
        <w:t>北斗卫星导航系统发展报告（4.0版）</w:t>
      </w:r>
      <w:r>
        <w:rPr>
          <w:sz w:val="30"/>
          <w:szCs w:val="30"/>
        </w:rPr>
        <w:tab/>
      </w:r>
      <w:r>
        <w:rPr>
          <w:rFonts w:hint="eastAsia"/>
          <w:sz w:val="30"/>
          <w:szCs w:val="30"/>
          <w:lang w:val="en-US" w:eastAsia="zh-CN"/>
        </w:rPr>
        <w:t>4</w:t>
      </w:r>
      <w:r>
        <w:rPr>
          <w:rFonts w:hint="default"/>
          <w:sz w:val="30"/>
          <w:szCs w:val="30"/>
          <w:lang w:val="en-US" w:eastAsia="zh-CN"/>
        </w:rPr>
        <w:fldChar w:fldCharType="end"/>
      </w:r>
      <w:r>
        <w:rPr>
          <w:rFonts w:hint="eastAsia"/>
          <w:sz w:val="30"/>
          <w:szCs w:val="30"/>
          <w:lang w:val="en-US" w:eastAsia="zh-CN"/>
        </w:rPr>
        <w:t>8</w:t>
      </w:r>
    </w:p>
    <w:p>
      <w:pPr>
        <w:pStyle w:val="2"/>
        <w:rPr>
          <w:rFonts w:hint="default"/>
          <w:sz w:val="30"/>
          <w:szCs w:val="30"/>
          <w:lang w:val="en-US" w:eastAsia="zh-CN"/>
        </w:rPr>
      </w:pPr>
      <w:r>
        <w:rPr>
          <w:rFonts w:hint="default"/>
          <w:sz w:val="30"/>
          <w:szCs w:val="30"/>
          <w:lang w:val="en-US" w:eastAsia="zh-CN"/>
        </w:rPr>
        <w:fldChar w:fldCharType="end"/>
      </w:r>
    </w:p>
    <w:p>
      <w:pPr>
        <w:keepNext w:val="0"/>
        <w:keepLines w:val="0"/>
        <w:pageBreakBefore/>
        <w:widowControl w:val="0"/>
        <w:kinsoku/>
        <w:wordWrap/>
        <w:overflowPunct/>
        <w:topLinePunct w:val="0"/>
        <w:autoSpaceDE/>
        <w:autoSpaceDN/>
        <w:bidi w:val="0"/>
        <w:adjustRightInd/>
        <w:snapToGrid/>
        <w:jc w:val="center"/>
        <w:textAlignment w:val="auto"/>
        <w:outlineLvl w:val="0"/>
        <w:rPr>
          <w:rFonts w:hint="eastAsia" w:asciiTheme="minorHAnsi" w:eastAsiaTheme="minorEastAsia"/>
          <w:b/>
          <w:bCs/>
          <w:color w:val="auto"/>
          <w:sz w:val="32"/>
          <w:szCs w:val="32"/>
          <w:lang w:val="en-US" w:eastAsia="zh-CN"/>
        </w:rPr>
      </w:pPr>
      <w:bookmarkStart w:id="0" w:name="_Toc18492"/>
      <w:r>
        <w:rPr>
          <w:rFonts w:hint="eastAsia" w:asciiTheme="minorHAnsi" w:eastAsiaTheme="minorEastAsia"/>
          <w:b/>
          <w:bCs/>
          <w:color w:val="auto"/>
          <w:sz w:val="32"/>
          <w:szCs w:val="32"/>
          <w:lang w:val="en-US" w:eastAsia="zh-CN"/>
        </w:rPr>
        <w:t>国家主席习近平发表二〇二〇年新年贺词</w:t>
      </w:r>
      <w:bookmarkEnd w:id="0"/>
    </w:p>
    <w:p>
      <w:pPr>
        <w:pStyle w:val="2"/>
        <w:ind w:left="0" w:leftChars="0" w:firstLine="560" w:firstLineChars="200"/>
        <w:outlineLvl w:val="9"/>
        <w:rPr>
          <w:rFonts w:hint="eastAsia" w:ascii="宋体" w:hAnsi="宋体" w:eastAsia="宋体" w:cs="宋体"/>
          <w:bCs w:val="0"/>
          <w:kern w:val="2"/>
          <w:sz w:val="28"/>
          <w:szCs w:val="28"/>
          <w:lang w:val="en-US" w:eastAsia="zh-CN" w:bidi="zh-CN"/>
        </w:rPr>
      </w:pPr>
      <w:r>
        <w:rPr>
          <w:rFonts w:hint="eastAsia" w:ascii="宋体" w:hAnsi="宋体" w:eastAsia="宋体" w:cs="宋体"/>
          <w:bCs w:val="0"/>
          <w:kern w:val="2"/>
          <w:sz w:val="28"/>
          <w:szCs w:val="28"/>
          <w:lang w:val="en-US" w:eastAsia="zh-CN" w:bidi="zh-CN"/>
        </w:rPr>
        <w:t>新年前夕，国家主席习近平通过中央广播电视总台和互联网，发表了二〇二〇年新年贺词。全文如下：</w:t>
      </w:r>
    </w:p>
    <w:p>
      <w:pPr>
        <w:pStyle w:val="2"/>
        <w:ind w:firstLine="546" w:firstLineChars="195"/>
        <w:outlineLvl w:val="9"/>
        <w:rPr>
          <w:rFonts w:hint="eastAsia" w:ascii="宋体" w:hAnsi="宋体" w:eastAsia="宋体" w:cs="宋体"/>
          <w:bCs w:val="0"/>
          <w:kern w:val="2"/>
          <w:sz w:val="28"/>
          <w:szCs w:val="28"/>
          <w:lang w:val="en-US" w:eastAsia="zh-CN" w:bidi="zh-CN"/>
        </w:rPr>
      </w:pPr>
      <w:r>
        <w:rPr>
          <w:rFonts w:hint="eastAsia" w:ascii="宋体" w:hAnsi="宋体" w:eastAsia="宋体" w:cs="宋体"/>
          <w:bCs w:val="0"/>
          <w:kern w:val="2"/>
          <w:sz w:val="28"/>
          <w:szCs w:val="28"/>
          <w:lang w:val="en-US" w:eastAsia="zh-CN" w:bidi="zh-CN"/>
        </w:rPr>
        <w:t>2020年就要到了，我在首都北京向大家送上新年的美好祝福！</w:t>
      </w:r>
    </w:p>
    <w:p>
      <w:pPr>
        <w:pStyle w:val="2"/>
        <w:ind w:firstLine="546" w:firstLineChars="195"/>
        <w:outlineLvl w:val="9"/>
        <w:rPr>
          <w:rFonts w:hint="eastAsia" w:ascii="宋体" w:hAnsi="宋体" w:eastAsia="宋体" w:cs="宋体"/>
          <w:bCs w:val="0"/>
          <w:kern w:val="2"/>
          <w:sz w:val="28"/>
          <w:szCs w:val="28"/>
          <w:lang w:val="en-US" w:eastAsia="zh-CN" w:bidi="zh-CN"/>
        </w:rPr>
      </w:pPr>
      <w:r>
        <w:rPr>
          <w:rFonts w:hint="eastAsia" w:ascii="宋体" w:hAnsi="宋体" w:eastAsia="宋体" w:cs="宋体"/>
          <w:bCs w:val="0"/>
          <w:kern w:val="2"/>
          <w:sz w:val="28"/>
          <w:szCs w:val="28"/>
          <w:lang w:val="en-US" w:eastAsia="zh-CN" w:bidi="zh-CN"/>
        </w:rPr>
        <w:t>2019年，我们用汗水浇灌收获，以实干笃定前行。高质量发展平稳推进，我国国内生产总值预计将接近100万亿元人民币、人均将迈上1万美元的台阶。三大攻坚战取得关键进展。京津冀协同发展、长江经济带发展、粤港澳大湾区建设、长三角一体化发展按下快进键，黄河流域生态保护和高质量发展成为国家战略。全国将有340个左右贫困县摘帽、1000多万人实现脱贫。嫦娥四号在人类历史上第一次登陆月球背面，长征五号遥三运载火箭成功发射，雪龙2号首航南极，北斗导航全球组网进入冲刺期，5G商用加速推出，北京大兴国际机场“凤凰展翅”……这些成就凝结着新时代奋斗者的心血和汗水，彰显了不同凡响的中国风采、中国力量。</w:t>
      </w:r>
      <w:bookmarkStart w:id="86" w:name="_GoBack"/>
      <w:bookmarkEnd w:id="86"/>
    </w:p>
    <w:p>
      <w:pPr>
        <w:pStyle w:val="2"/>
        <w:ind w:firstLine="546" w:firstLineChars="195"/>
        <w:outlineLvl w:val="9"/>
        <w:rPr>
          <w:rFonts w:hint="eastAsia" w:ascii="宋体" w:hAnsi="宋体" w:eastAsia="宋体" w:cs="宋体"/>
          <w:bCs w:val="0"/>
          <w:kern w:val="2"/>
          <w:sz w:val="28"/>
          <w:szCs w:val="28"/>
          <w:lang w:val="en-US" w:eastAsia="zh-CN" w:bidi="zh-CN"/>
        </w:rPr>
      </w:pPr>
      <w:r>
        <w:rPr>
          <w:rFonts w:hint="eastAsia" w:ascii="宋体" w:hAnsi="宋体" w:eastAsia="宋体" w:cs="宋体"/>
          <w:bCs w:val="0"/>
          <w:kern w:val="2"/>
          <w:sz w:val="28"/>
          <w:szCs w:val="28"/>
          <w:lang w:val="en-US" w:eastAsia="zh-CN" w:bidi="zh-CN"/>
        </w:rPr>
        <w:t>一年来，改革开放不断催生发展活力。党和国家机构改革圆满完成。增设一批自由贸易试验区和上海自由贸易试验区新片区。科创板顺利启动推进。减税降费总额超过2万亿元。个人所得税起征点提高了，老百姓常用的许多药品降价了，网络提速降费使刷屏更快了，垃圾分类引领着低碳生活新时尚。“基层减负年”让基层干部轻装上阵。放眼神州大地，处处都有新变化新气象。</w:t>
      </w:r>
    </w:p>
    <w:p>
      <w:pPr>
        <w:pStyle w:val="2"/>
        <w:ind w:firstLine="546" w:firstLineChars="195"/>
        <w:outlineLvl w:val="9"/>
        <w:rPr>
          <w:rFonts w:hint="eastAsia" w:ascii="宋体" w:hAnsi="宋体" w:eastAsia="宋体" w:cs="宋体"/>
          <w:bCs w:val="0"/>
          <w:kern w:val="2"/>
          <w:sz w:val="28"/>
          <w:szCs w:val="28"/>
          <w:lang w:val="en-US" w:eastAsia="zh-CN" w:bidi="zh-CN"/>
        </w:rPr>
      </w:pPr>
      <w:r>
        <w:rPr>
          <w:rFonts w:hint="eastAsia" w:ascii="宋体" w:hAnsi="宋体" w:eastAsia="宋体" w:cs="宋体"/>
          <w:bCs w:val="0"/>
          <w:kern w:val="2"/>
          <w:sz w:val="28"/>
          <w:szCs w:val="28"/>
          <w:lang w:val="en-US" w:eastAsia="zh-CN" w:bidi="zh-CN"/>
        </w:rPr>
        <w:t>一年来，国防和军队改革扎实推进，人民军队展现出新时代强军风貌。我们进行国庆大阅兵，举行海军、空军成立70周年庆祝活动，举办第七届世界军人运动会。首艘国产航母正式列装。人民子弟兵永远是保卫祖国的钢铁长城，让我们向守护家园的忠诚卫士们致敬！</w:t>
      </w:r>
    </w:p>
    <w:p>
      <w:pPr>
        <w:pStyle w:val="2"/>
        <w:ind w:firstLine="546" w:firstLineChars="195"/>
        <w:outlineLvl w:val="9"/>
        <w:rPr>
          <w:rFonts w:hint="eastAsia" w:ascii="宋体" w:hAnsi="宋体" w:eastAsia="宋体" w:cs="宋体"/>
          <w:bCs w:val="0"/>
          <w:kern w:val="2"/>
          <w:sz w:val="28"/>
          <w:szCs w:val="28"/>
          <w:lang w:val="en-US" w:eastAsia="zh-CN" w:bidi="zh-CN"/>
        </w:rPr>
      </w:pPr>
      <w:r>
        <w:rPr>
          <w:rFonts w:hint="eastAsia" w:ascii="宋体" w:hAnsi="宋体" w:eastAsia="宋体" w:cs="宋体"/>
          <w:bCs w:val="0"/>
          <w:kern w:val="2"/>
          <w:sz w:val="28"/>
          <w:szCs w:val="28"/>
          <w:lang w:val="en-US" w:eastAsia="zh-CN" w:bidi="zh-CN"/>
        </w:rPr>
        <w:t>2019年，最难忘的是隆重庆祝新中国成立70周年。我们为共和国70年的辉煌成就喝彩，被爱国主义的硬核力量震撼。阅兵方阵威武雄壮，群众游行激情飞扬，天安门广场成了欢乐的海洋。大江南北披上红色盛装，人们脸上洋溢着自豪的笑容，《我和我的祖国》在大街小巷传唱。爱国主义情感让我们热泪盈眶，爱国主义精神构筑起民族的脊梁。这一切，汇聚成礼赞新中国、奋斗新时代的前进洪流，给我们增添了无穷力量。</w:t>
      </w:r>
    </w:p>
    <w:p>
      <w:pPr>
        <w:pStyle w:val="2"/>
        <w:ind w:firstLine="546" w:firstLineChars="195"/>
        <w:outlineLvl w:val="9"/>
        <w:rPr>
          <w:rFonts w:hint="eastAsia" w:ascii="宋体" w:hAnsi="宋体" w:eastAsia="宋体" w:cs="宋体"/>
          <w:bCs w:val="0"/>
          <w:kern w:val="2"/>
          <w:sz w:val="28"/>
          <w:szCs w:val="28"/>
          <w:lang w:val="en-US" w:eastAsia="zh-CN" w:bidi="zh-CN"/>
        </w:rPr>
      </w:pPr>
      <w:r>
        <w:rPr>
          <w:rFonts w:hint="eastAsia" w:ascii="宋体" w:hAnsi="宋体" w:eastAsia="宋体" w:cs="宋体"/>
          <w:bCs w:val="0"/>
          <w:kern w:val="2"/>
          <w:sz w:val="28"/>
          <w:szCs w:val="28"/>
          <w:lang w:val="en-US" w:eastAsia="zh-CN" w:bidi="zh-CN"/>
        </w:rPr>
        <w:t>一年来，我去了不少地方。雄安新区画卷徐徐铺展，天津港蓬勃兴盛，北京城市副中心生机勃发，内蒙古大草原壮美亮丽，河西走廊穿越千年、历久弥新，九曲黄河天高水阔、雄浑安澜，黄浦江两岸物阜民丰、流光溢彩……祖国各地一派欣欣向荣的景象。我沿着中国革命的征程砥砺初心。从江西于都红军长征集结出发地到河南新县鄂豫皖苏区首府革命博物馆，从甘肃高台西路军纪念碑到北京香山革命纪念地，每个地方都让我思绪万千，初心和使命是我们走好新时代长征路的不竭动力。</w:t>
      </w:r>
    </w:p>
    <w:p>
      <w:pPr>
        <w:pStyle w:val="2"/>
        <w:ind w:firstLine="546" w:firstLineChars="195"/>
        <w:outlineLvl w:val="9"/>
        <w:rPr>
          <w:rFonts w:hint="eastAsia" w:ascii="宋体" w:hAnsi="宋体" w:eastAsia="宋体" w:cs="宋体"/>
          <w:bCs w:val="0"/>
          <w:kern w:val="2"/>
          <w:sz w:val="28"/>
          <w:szCs w:val="28"/>
          <w:lang w:val="en-US" w:eastAsia="zh-CN" w:bidi="zh-CN"/>
        </w:rPr>
      </w:pPr>
      <w:r>
        <w:rPr>
          <w:rFonts w:hint="eastAsia" w:ascii="宋体" w:hAnsi="宋体" w:eastAsia="宋体" w:cs="宋体"/>
          <w:bCs w:val="0"/>
          <w:kern w:val="2"/>
          <w:sz w:val="28"/>
          <w:szCs w:val="28"/>
          <w:lang w:val="en-US" w:eastAsia="zh-CN" w:bidi="zh-CN"/>
        </w:rPr>
        <w:t>同往常一样，我无论多忙，都要抽时间到乡亲们中走一走看一看。大家跟我说了很多心里话，我一直记在心上。云南贡山独龙族群众、福建寿宁县下党乡的乡亲、“王杰班”全体战士、北京体育大学研究生冠军班同学、澳门小朋友和义工老人，给我写了信。我在回信中肯定了大家取得的成绩，也表达了良好祝愿。</w:t>
      </w:r>
    </w:p>
    <w:p>
      <w:pPr>
        <w:pStyle w:val="2"/>
        <w:ind w:firstLine="546" w:firstLineChars="195"/>
        <w:outlineLvl w:val="9"/>
        <w:rPr>
          <w:rFonts w:hint="eastAsia" w:ascii="宋体" w:hAnsi="宋体" w:eastAsia="宋体" w:cs="宋体"/>
          <w:bCs w:val="0"/>
          <w:kern w:val="2"/>
          <w:sz w:val="28"/>
          <w:szCs w:val="28"/>
          <w:lang w:val="en-US" w:eastAsia="zh-CN" w:bidi="zh-CN"/>
        </w:rPr>
      </w:pPr>
      <w:r>
        <w:rPr>
          <w:rFonts w:hint="eastAsia" w:ascii="宋体" w:hAnsi="宋体" w:eastAsia="宋体" w:cs="宋体"/>
          <w:bCs w:val="0"/>
          <w:kern w:val="2"/>
          <w:sz w:val="28"/>
          <w:szCs w:val="28"/>
          <w:lang w:val="en-US" w:eastAsia="zh-CN" w:bidi="zh-CN"/>
        </w:rPr>
        <w:t>一年来，许多人和事感动着我们。一辈子深藏功名、初心不改的张富清，把青春和生命献给脱贫事业的黄文秀，为救火而捐躯的四川木里31名勇士，用自己身体保护战友的杜富国，以十一连胜夺取世界杯冠军的中国女排……许许多多无怨无悔、倾情奉献的无名英雄，他们以普通人的平凡书写了不平凡的人生。</w:t>
      </w:r>
    </w:p>
    <w:p>
      <w:pPr>
        <w:pStyle w:val="2"/>
        <w:ind w:firstLine="546" w:firstLineChars="195"/>
        <w:outlineLvl w:val="9"/>
        <w:rPr>
          <w:rFonts w:hint="eastAsia" w:ascii="宋体" w:hAnsi="宋体" w:eastAsia="宋体" w:cs="宋体"/>
          <w:bCs w:val="0"/>
          <w:kern w:val="2"/>
          <w:sz w:val="28"/>
          <w:szCs w:val="28"/>
          <w:lang w:val="en-US" w:eastAsia="zh-CN" w:bidi="zh-CN"/>
        </w:rPr>
      </w:pPr>
      <w:r>
        <w:rPr>
          <w:rFonts w:hint="eastAsia" w:ascii="宋体" w:hAnsi="宋体" w:eastAsia="宋体" w:cs="宋体"/>
          <w:bCs w:val="0"/>
          <w:kern w:val="2"/>
          <w:sz w:val="28"/>
          <w:szCs w:val="28"/>
          <w:lang w:val="en-US" w:eastAsia="zh-CN" w:bidi="zh-CN"/>
        </w:rPr>
        <w:t>2019年，中国继续张开双臂拥抱世界。我们主办了第二届“一带一路”国际合作高峰论坛、北京世界园艺博览会、亚洲文明对话大会、第二届中国国际进口博览会，向世界展示了一个文明、开放、包容的中国。我同很多国家元首和政府首脑会晤，分享了中国主张，增进了友谊，深化了共识。世界上又有一些国家同我国建交，我国建交国达到180个。我们的朋友遍天下！</w:t>
      </w:r>
    </w:p>
    <w:p>
      <w:pPr>
        <w:pStyle w:val="2"/>
        <w:ind w:firstLine="546" w:firstLineChars="195"/>
        <w:outlineLvl w:val="9"/>
        <w:rPr>
          <w:rFonts w:hint="eastAsia" w:ascii="宋体" w:hAnsi="宋体" w:eastAsia="宋体" w:cs="宋体"/>
          <w:bCs w:val="0"/>
          <w:kern w:val="2"/>
          <w:sz w:val="28"/>
          <w:szCs w:val="28"/>
          <w:lang w:val="en-US" w:eastAsia="zh-CN" w:bidi="zh-CN"/>
        </w:rPr>
      </w:pPr>
      <w:r>
        <w:rPr>
          <w:rFonts w:hint="eastAsia" w:ascii="宋体" w:hAnsi="宋体" w:eastAsia="宋体" w:cs="宋体"/>
          <w:bCs w:val="0"/>
          <w:kern w:val="2"/>
          <w:sz w:val="28"/>
          <w:szCs w:val="28"/>
          <w:lang w:val="en-US" w:eastAsia="zh-CN" w:bidi="zh-CN"/>
        </w:rPr>
        <w:t>2020年是具有里程碑意义的一年。我们将全面建成小康社会，实现第一个百年奋斗目标。2020年也是脱贫攻坚决战决胜之年。冲锋号已经吹响。我们要万众一心加油干，越是艰险越向前，把短板补得再扎实一些，把基础打得再牢靠一些，坚决打赢脱贫攻坚战，如期实现现行标准下农村贫困人口全部脱贫、贫困县全部摘帽。</w:t>
      </w:r>
    </w:p>
    <w:p>
      <w:pPr>
        <w:pStyle w:val="2"/>
        <w:ind w:firstLine="546" w:firstLineChars="195"/>
        <w:outlineLvl w:val="9"/>
        <w:rPr>
          <w:rFonts w:hint="eastAsia" w:ascii="宋体" w:hAnsi="宋体" w:eastAsia="宋体" w:cs="宋体"/>
          <w:bCs w:val="0"/>
          <w:kern w:val="2"/>
          <w:sz w:val="28"/>
          <w:szCs w:val="28"/>
          <w:lang w:val="en-US" w:eastAsia="zh-CN" w:bidi="zh-CN"/>
        </w:rPr>
      </w:pPr>
      <w:r>
        <w:rPr>
          <w:rFonts w:hint="eastAsia" w:ascii="宋体" w:hAnsi="宋体" w:eastAsia="宋体" w:cs="宋体"/>
          <w:bCs w:val="0"/>
          <w:kern w:val="2"/>
          <w:sz w:val="28"/>
          <w:szCs w:val="28"/>
          <w:lang w:val="en-US" w:eastAsia="zh-CN" w:bidi="zh-CN"/>
        </w:rPr>
        <w:t>前几天，我出席了澳门回归祖国20周年庆祝活动，我为澳门繁荣稳定感到欣慰。澳门的成功实践表明，“一国两制”完全行得通、办得到、得人心。近几个月来，香港局势牵动着大家的心。没有和谐稳定的环境，怎会有安居乐业的家园！真诚希望香港好、香港同胞好。香港繁荣稳定是香港同胞的心愿，也是祖国人民的期盼。</w:t>
      </w:r>
    </w:p>
    <w:p>
      <w:pPr>
        <w:pStyle w:val="2"/>
        <w:ind w:firstLine="546" w:firstLineChars="195"/>
        <w:outlineLvl w:val="9"/>
        <w:rPr>
          <w:rFonts w:hint="eastAsia" w:ascii="宋体" w:hAnsi="宋体" w:eastAsia="宋体" w:cs="宋体"/>
          <w:bCs w:val="0"/>
          <w:kern w:val="2"/>
          <w:sz w:val="28"/>
          <w:szCs w:val="28"/>
          <w:lang w:val="en-US" w:eastAsia="zh-CN" w:bidi="zh-CN"/>
        </w:rPr>
      </w:pPr>
      <w:r>
        <w:rPr>
          <w:rFonts w:hint="eastAsia" w:ascii="宋体" w:hAnsi="宋体" w:eastAsia="宋体" w:cs="宋体"/>
          <w:bCs w:val="0"/>
          <w:kern w:val="2"/>
          <w:sz w:val="28"/>
          <w:szCs w:val="28"/>
          <w:lang w:val="en-US" w:eastAsia="zh-CN" w:bidi="zh-CN"/>
        </w:rPr>
        <w:t>历史长河奔腾不息，有风平浪静，也有波涛汹涌。我们不惧风雨，也不畏险阻。中国将坚定不移走和平发展道路，坚定不移维护世界和平、促进共同发展。我们愿同世界各国人民携起手来，积极共建“一带一路”，推动构建人类命运共同体，为创造人类美好未来而不懈努力。</w:t>
      </w:r>
    </w:p>
    <w:p>
      <w:pPr>
        <w:pStyle w:val="2"/>
        <w:ind w:firstLine="546" w:firstLineChars="195"/>
        <w:outlineLvl w:val="9"/>
        <w:rPr>
          <w:rFonts w:hint="eastAsia" w:ascii="宋体" w:hAnsi="宋体" w:eastAsia="宋体" w:cs="宋体"/>
          <w:bCs w:val="0"/>
          <w:kern w:val="2"/>
          <w:sz w:val="28"/>
          <w:szCs w:val="28"/>
          <w:lang w:val="en-US" w:eastAsia="zh-CN" w:bidi="zh-CN"/>
        </w:rPr>
      </w:pPr>
      <w:r>
        <w:rPr>
          <w:rFonts w:hint="eastAsia" w:ascii="宋体" w:hAnsi="宋体" w:eastAsia="宋体" w:cs="宋体"/>
          <w:bCs w:val="0"/>
          <w:kern w:val="2"/>
          <w:sz w:val="28"/>
          <w:szCs w:val="28"/>
          <w:lang w:val="en-US" w:eastAsia="zh-CN" w:bidi="zh-CN"/>
        </w:rPr>
        <w:t>此时此刻，还有许多人在坚守岗位，许多人在守护平安，许多人在辛勤劳作。大家辛苦了！</w:t>
      </w:r>
    </w:p>
    <w:p>
      <w:pPr>
        <w:pStyle w:val="2"/>
        <w:ind w:firstLine="546" w:firstLineChars="195"/>
        <w:outlineLvl w:val="9"/>
        <w:rPr>
          <w:rFonts w:hint="eastAsia" w:ascii="宋体" w:hAnsi="宋体" w:eastAsia="宋体" w:cs="宋体"/>
          <w:bCs w:val="0"/>
          <w:kern w:val="2"/>
          <w:sz w:val="28"/>
          <w:szCs w:val="28"/>
          <w:lang w:val="en-US" w:eastAsia="zh-CN" w:bidi="zh-CN"/>
        </w:rPr>
      </w:pPr>
      <w:r>
        <w:rPr>
          <w:rFonts w:hint="eastAsia" w:ascii="宋体" w:hAnsi="宋体" w:eastAsia="宋体" w:cs="宋体"/>
          <w:bCs w:val="0"/>
          <w:kern w:val="2"/>
          <w:sz w:val="28"/>
          <w:szCs w:val="28"/>
          <w:lang w:val="en-US" w:eastAsia="zh-CN" w:bidi="zh-CN"/>
        </w:rPr>
        <w:t>让我们只争朝夕，不负韶华，共同迎接2020年的到来。</w:t>
      </w:r>
    </w:p>
    <w:p>
      <w:pPr>
        <w:pStyle w:val="2"/>
        <w:ind w:firstLine="546" w:firstLineChars="195"/>
        <w:outlineLvl w:val="9"/>
        <w:rPr>
          <w:rFonts w:hint="eastAsia" w:ascii="宋体" w:hAnsi="宋体" w:eastAsia="宋体" w:cs="宋体"/>
          <w:bCs w:val="0"/>
          <w:kern w:val="2"/>
          <w:sz w:val="28"/>
          <w:szCs w:val="28"/>
          <w:lang w:val="en-US" w:eastAsia="zh-CN" w:bidi="zh-CN"/>
        </w:rPr>
      </w:pPr>
      <w:r>
        <w:rPr>
          <w:rFonts w:hint="eastAsia" w:ascii="宋体" w:hAnsi="宋体" w:eastAsia="宋体" w:cs="宋体"/>
          <w:bCs w:val="0"/>
          <w:kern w:val="2"/>
          <w:sz w:val="28"/>
          <w:szCs w:val="28"/>
          <w:lang w:val="en-US" w:eastAsia="zh-CN" w:bidi="zh-CN"/>
        </w:rPr>
        <w:t>祝大家新年快乐！</w:t>
      </w:r>
    </w:p>
    <w:p>
      <w:pPr>
        <w:pStyle w:val="2"/>
        <w:rPr>
          <w:rFonts w:hint="eastAsia" w:ascii="宋体" w:hAnsi="宋体" w:eastAsia="宋体" w:cs="宋体"/>
          <w:bCs w:val="0"/>
          <w:kern w:val="2"/>
          <w:sz w:val="28"/>
          <w:szCs w:val="28"/>
          <w:lang w:val="en-US" w:eastAsia="zh-CN" w:bidi="zh-CN"/>
        </w:rPr>
      </w:pPr>
    </w:p>
    <w:p>
      <w:pPr>
        <w:keepNext w:val="0"/>
        <w:keepLines w:val="0"/>
        <w:pageBreakBefore/>
        <w:widowControl w:val="0"/>
        <w:kinsoku/>
        <w:wordWrap/>
        <w:overflowPunct/>
        <w:topLinePunct w:val="0"/>
        <w:autoSpaceDE/>
        <w:autoSpaceDN/>
        <w:bidi w:val="0"/>
        <w:adjustRightInd/>
        <w:snapToGrid/>
        <w:textAlignment w:val="auto"/>
        <w:outlineLvl w:val="0"/>
        <w:rPr>
          <w:rFonts w:hint="eastAsia" w:ascii="宋体" w:hAnsi="宋体" w:eastAsia="宋体" w:cs="宋体"/>
          <w:b w:val="0"/>
          <w:bCs w:val="0"/>
          <w:sz w:val="28"/>
          <w:szCs w:val="28"/>
          <w:lang w:val="en-US" w:eastAsia="zh-CN"/>
        </w:rPr>
      </w:pPr>
      <w:bookmarkStart w:id="1" w:name="_Toc3570"/>
      <w:bookmarkStart w:id="2" w:name="_Toc26047"/>
      <w:r>
        <w:rPr>
          <w:rFonts w:hint="eastAsia" w:asciiTheme="minorHAnsi" w:eastAsiaTheme="minorEastAsia"/>
          <w:b/>
          <w:bCs/>
          <w:color w:val="auto"/>
          <w:sz w:val="32"/>
          <w:szCs w:val="32"/>
          <w:lang w:val="en-US" w:eastAsia="zh-CN"/>
        </w:rPr>
        <w:t>【新闻速递】</w:t>
      </w:r>
      <w:bookmarkEnd w:id="1"/>
      <w:bookmarkEnd w:id="2"/>
    </w:p>
    <w:p>
      <w:pPr>
        <w:pStyle w:val="6"/>
        <w:spacing w:line="348" w:lineRule="auto"/>
        <w:ind w:right="165"/>
        <w:rPr>
          <w:rFonts w:hint="eastAsia" w:ascii="宋体" w:hAnsi="宋体" w:eastAsia="宋体" w:cs="宋体"/>
          <w:b/>
          <w:bCs/>
          <w:lang w:val="en-US" w:eastAsia="zh-CN"/>
        </w:rPr>
      </w:pPr>
      <w:r>
        <w:rPr>
          <w:rFonts w:hint="eastAsia" w:ascii="宋体" w:hAnsi="宋体" w:eastAsia="宋体" w:cs="宋体"/>
          <w:b/>
          <w:bCs/>
          <w:lang w:val="en-US" w:eastAsia="zh-CN"/>
        </w:rPr>
        <w:t>国家智能网联汽车创新中心建设启动会暨车联网（智能网联汽车）和自动驾驶地图应用试点签约活动在京举行 </w:t>
      </w:r>
    </w:p>
    <w:p>
      <w:pPr>
        <w:pStyle w:val="6"/>
        <w:spacing w:line="348" w:lineRule="auto"/>
        <w:ind w:right="165"/>
        <w:rPr>
          <w:rFonts w:hint="eastAsia" w:ascii="宋体" w:hAnsi="宋体" w:eastAsia="宋体" w:cs="宋体"/>
          <w:b w:val="0"/>
          <w:bCs w:val="0"/>
          <w:lang w:val="en-US" w:eastAsia="zh-CN"/>
        </w:rPr>
      </w:pPr>
      <w:r>
        <w:rPr>
          <w:rFonts w:hint="eastAsia" w:ascii="宋体" w:hAnsi="宋体" w:eastAsia="宋体" w:cs="宋体"/>
          <w:b w:val="0"/>
          <w:bCs w:val="0"/>
          <w:lang w:val="en-US" w:eastAsia="zh-CN"/>
        </w:rPr>
        <w:t>2019年12月31日，国家智能网联汽车创新中心建设启动会暨车联网（智能网联汽车）和自动驾驶地图应用试点签约活动在北京举行。国家智能网联汽车创新中心依托国汽（北京）智能网联汽车研究院有限公司建设，主要围绕行驶环境融合感知、智能网联决策控制、复杂系统重构设计等领域，建设研发设计平台、中试验证平台、公共测试平台、共性技术服务平台和成果转化基地，支撑我国智能网联汽车行业发展。</w:t>
      </w:r>
    </w:p>
    <w:p>
      <w:pPr>
        <w:pStyle w:val="6"/>
        <w:spacing w:line="348" w:lineRule="auto"/>
        <w:ind w:right="165"/>
        <w:rPr>
          <w:rFonts w:hint="eastAsia" w:ascii="宋体" w:hAnsi="宋体" w:eastAsia="宋体" w:cs="宋体"/>
          <w:b/>
          <w:bCs/>
          <w:lang w:val="en-US" w:eastAsia="zh-CN"/>
        </w:rPr>
      </w:pPr>
    </w:p>
    <w:p>
      <w:pPr>
        <w:pStyle w:val="6"/>
        <w:spacing w:line="348" w:lineRule="auto"/>
        <w:ind w:right="165"/>
        <w:rPr>
          <w:rFonts w:hint="eastAsia" w:ascii="宋体" w:hAnsi="宋体" w:eastAsia="宋体" w:cs="宋体"/>
          <w:b/>
          <w:bCs/>
          <w:lang w:val="en-US" w:eastAsia="zh-CN"/>
        </w:rPr>
      </w:pPr>
      <w:r>
        <w:rPr>
          <w:rFonts w:hint="eastAsia" w:ascii="宋体" w:hAnsi="宋体" w:eastAsia="宋体" w:cs="宋体"/>
          <w:b/>
          <w:bCs/>
          <w:lang w:val="en-US" w:eastAsia="zh-CN"/>
        </w:rPr>
        <w:t>国家移民管理局:12月31日起开通华侨护照查询服务</w:t>
      </w:r>
    </w:p>
    <w:p>
      <w:pPr>
        <w:pStyle w:val="6"/>
        <w:spacing w:line="348" w:lineRule="auto"/>
        <w:ind w:right="165"/>
        <w:rPr>
          <w:rFonts w:hint="eastAsia" w:ascii="宋体" w:hAnsi="宋体" w:eastAsia="宋体" w:cs="宋体"/>
          <w:lang w:val="en-US" w:eastAsia="zh-CN"/>
        </w:rPr>
      </w:pPr>
      <w:r>
        <w:rPr>
          <w:rFonts w:hint="eastAsia" w:ascii="宋体" w:hAnsi="宋体" w:eastAsia="宋体" w:cs="宋体"/>
          <w:lang w:val="en-US" w:eastAsia="zh-CN"/>
        </w:rPr>
        <w:t>国家移民管理局将于12月31号起开通华侨护照查询服务，为定居国外的中国公民在境内凭护照办理事务提供便利。有关办事服务机构可通过接入国家移民管理局出入境证件身份认证平台的应用系统进行联网在线查询并获取结果；华侨个人可通过国家移民管理局政务服务平台“定居国外的中国公民护照查询”模块进行查询，并自动获取查询结果电子文件用于相关业务办理。</w:t>
      </w:r>
    </w:p>
    <w:p>
      <w:pPr>
        <w:pStyle w:val="6"/>
        <w:spacing w:line="348" w:lineRule="auto"/>
        <w:ind w:right="165" w:firstLine="560" w:firstLineChars="200"/>
        <w:rPr>
          <w:rFonts w:hint="eastAsia" w:ascii="宋体" w:hAnsi="宋体" w:eastAsia="宋体" w:cs="宋体"/>
          <w:lang w:val="en-US" w:eastAsia="zh-CN"/>
        </w:rPr>
      </w:pPr>
    </w:p>
    <w:p>
      <w:pPr>
        <w:pStyle w:val="6"/>
        <w:spacing w:line="348" w:lineRule="auto"/>
        <w:ind w:right="165"/>
        <w:rPr>
          <w:rFonts w:hint="eastAsia" w:ascii="宋体" w:hAnsi="宋体" w:eastAsia="宋体" w:cs="宋体"/>
          <w:b/>
          <w:bCs/>
          <w:lang w:val="en-US" w:eastAsia="zh-CN"/>
        </w:rPr>
      </w:pPr>
      <w:r>
        <w:rPr>
          <w:rFonts w:hint="eastAsia" w:ascii="宋体" w:hAnsi="宋体" w:eastAsia="宋体" w:cs="宋体"/>
          <w:b/>
          <w:bCs/>
          <w:lang w:val="en-US" w:eastAsia="zh-CN"/>
        </w:rPr>
        <w:t>山东省“政务服务一网通办”总门户上线运行</w:t>
      </w:r>
    </w:p>
    <w:p>
      <w:pPr>
        <w:pStyle w:val="6"/>
        <w:spacing w:line="348" w:lineRule="auto"/>
        <w:ind w:right="165"/>
        <w:rPr>
          <w:rFonts w:hint="eastAsia" w:ascii="宋体" w:hAnsi="宋体" w:eastAsia="宋体" w:cs="宋体"/>
          <w:lang w:val="en-US" w:eastAsia="zh-CN"/>
        </w:rPr>
      </w:pPr>
      <w:r>
        <w:rPr>
          <w:rFonts w:hint="eastAsia" w:ascii="宋体" w:hAnsi="宋体" w:eastAsia="宋体" w:cs="宋体"/>
          <w:lang w:val="en-US" w:eastAsia="zh-CN"/>
        </w:rPr>
        <w:t>12月30日下午，山东省“政务服务一网通办”总门户（www.shandong.gov.cn）上线运行。目前，总门户已经接入山东全省各级4.8万家单位、173.6万个服务事项，省和16市政务服务、民生警务、公共就业、企业融资等主要办事服务平台实现了对接，各渠道注册用户量已超过1000万。</w:t>
      </w:r>
    </w:p>
    <w:p>
      <w:pPr>
        <w:pStyle w:val="6"/>
        <w:spacing w:line="348" w:lineRule="auto"/>
        <w:ind w:right="165"/>
        <w:rPr>
          <w:rFonts w:hint="eastAsia" w:ascii="宋体" w:hAnsi="宋体" w:eastAsia="宋体" w:cs="宋体"/>
          <w:lang w:val="en-US" w:eastAsia="zh-CN"/>
        </w:rPr>
      </w:pPr>
    </w:p>
    <w:p>
      <w:pPr>
        <w:pStyle w:val="6"/>
        <w:spacing w:line="348" w:lineRule="auto"/>
        <w:ind w:right="165"/>
        <w:rPr>
          <w:rFonts w:hint="eastAsia" w:ascii="宋体" w:hAnsi="宋体" w:eastAsia="宋体" w:cs="宋体"/>
          <w:b/>
          <w:bCs/>
          <w:lang w:val="en-US" w:eastAsia="zh-CN"/>
        </w:rPr>
      </w:pPr>
      <w:r>
        <w:rPr>
          <w:rFonts w:hint="eastAsia" w:ascii="宋体" w:hAnsi="宋体" w:eastAsia="宋体" w:cs="宋体"/>
          <w:b/>
          <w:bCs/>
          <w:lang w:val="en-US" w:eastAsia="zh-CN"/>
        </w:rPr>
        <w:t>长征五号遥三运载火箭成功发射</w:t>
      </w:r>
    </w:p>
    <w:p>
      <w:pPr>
        <w:pStyle w:val="6"/>
        <w:spacing w:line="348" w:lineRule="auto"/>
        <w:ind w:right="165"/>
        <w:rPr>
          <w:rFonts w:hint="eastAsia" w:ascii="宋体" w:hAnsi="宋体" w:eastAsia="宋体" w:cs="宋体"/>
          <w:lang w:val="en-US" w:eastAsia="zh-CN"/>
        </w:rPr>
      </w:pPr>
      <w:r>
        <w:rPr>
          <w:rFonts w:hint="eastAsia" w:ascii="宋体" w:hAnsi="宋体" w:eastAsia="宋体" w:cs="宋体"/>
          <w:lang w:val="en-US" w:eastAsia="zh-CN"/>
        </w:rPr>
        <w:t>北京时间2019年12月27日20时45分10秒526毫秒，长征五号遥三运载火箭自中国文昌航天发射场点火升空，将实践二十号卫星准确送入预定轨道。长征五号遥三运载火箭的成功发射意味着大容量通信卫星能被运载至太空，嫦娥五号和火星探测器可以发射，我国的近地轨道空间站也有望建成，所有基于长征五号的任务都可以继续推进。</w:t>
      </w:r>
    </w:p>
    <w:p>
      <w:pPr>
        <w:pStyle w:val="6"/>
        <w:spacing w:line="348" w:lineRule="auto"/>
        <w:ind w:right="165"/>
        <w:rPr>
          <w:rFonts w:hint="default" w:ascii="宋体" w:hAnsi="宋体" w:eastAsia="宋体" w:cs="宋体"/>
          <w:lang w:val="en-US" w:eastAsia="zh-CN"/>
        </w:rPr>
      </w:pPr>
    </w:p>
    <w:p>
      <w:pPr>
        <w:pStyle w:val="6"/>
        <w:spacing w:line="348" w:lineRule="auto"/>
        <w:ind w:right="165"/>
        <w:rPr>
          <w:rFonts w:hint="eastAsia" w:ascii="宋体" w:hAnsi="宋体" w:eastAsia="宋体" w:cs="宋体"/>
          <w:b/>
          <w:bCs/>
          <w:lang w:val="en-US" w:eastAsia="zh-CN"/>
        </w:rPr>
      </w:pPr>
      <w:r>
        <w:rPr>
          <w:rFonts w:hint="eastAsia" w:ascii="宋体" w:hAnsi="宋体" w:eastAsia="宋体" w:cs="宋体"/>
          <w:b/>
          <w:bCs/>
          <w:lang w:val="en-US" w:eastAsia="zh-CN"/>
        </w:rPr>
        <w:t>江西、福建签署跨省数据共享应用合作协议</w:t>
      </w:r>
    </w:p>
    <w:p>
      <w:pPr>
        <w:pStyle w:val="6"/>
        <w:spacing w:line="348" w:lineRule="auto"/>
        <w:ind w:right="165"/>
        <w:rPr>
          <w:rFonts w:hint="eastAsia" w:ascii="宋体" w:hAnsi="宋体" w:eastAsia="宋体" w:cs="宋体"/>
          <w:lang w:val="en-US" w:eastAsia="zh-CN"/>
        </w:rPr>
      </w:pPr>
      <w:r>
        <w:rPr>
          <w:rFonts w:hint="eastAsia" w:ascii="宋体" w:hAnsi="宋体" w:eastAsia="宋体" w:cs="宋体"/>
          <w:lang w:val="en-US" w:eastAsia="zh-CN"/>
        </w:rPr>
        <w:t>赣闽跨省数据共享应用合作27日正式签约。赣闽两省将以全国一体化在线政务服务平台为依托，优化办事流程，减少群众两省间来回跑路。目前，两省已完成电子证照库互联互通，支持办事过程中实时调取对方省份的电子证照。赣闽两省正在加快推进生育登记、户口迁移、电子身份凭证和新生儿落户等四个跨省数据共享应用试点，并将数据共享拓展到其他高频审批服务事项，为全国跨省数据共享应用提供经验模式。</w:t>
      </w:r>
    </w:p>
    <w:p>
      <w:pPr>
        <w:pStyle w:val="6"/>
        <w:spacing w:line="348" w:lineRule="auto"/>
        <w:ind w:right="165"/>
        <w:rPr>
          <w:rFonts w:hint="eastAsia" w:ascii="宋体" w:hAnsi="宋体" w:eastAsia="宋体" w:cs="宋体"/>
          <w:lang w:val="en-US" w:eastAsia="zh-CN"/>
        </w:rPr>
      </w:pPr>
    </w:p>
    <w:p>
      <w:pPr>
        <w:pStyle w:val="6"/>
        <w:spacing w:line="348" w:lineRule="auto"/>
        <w:ind w:right="165"/>
        <w:rPr>
          <w:rFonts w:hint="eastAsia" w:ascii="宋体" w:hAnsi="宋体" w:eastAsia="宋体" w:cs="宋体"/>
          <w:b/>
          <w:bCs/>
          <w:lang w:val="en-US" w:eastAsia="zh-CN"/>
        </w:rPr>
      </w:pPr>
    </w:p>
    <w:p>
      <w:pPr>
        <w:pStyle w:val="6"/>
        <w:spacing w:line="348" w:lineRule="auto"/>
        <w:ind w:right="165"/>
        <w:rPr>
          <w:rFonts w:hint="eastAsia" w:ascii="宋体" w:hAnsi="宋体" w:eastAsia="宋体" w:cs="宋体"/>
          <w:b/>
          <w:bCs/>
          <w:lang w:val="en-US" w:eastAsia="zh-CN"/>
        </w:rPr>
      </w:pPr>
      <w:r>
        <w:rPr>
          <w:rFonts w:hint="eastAsia" w:ascii="宋体" w:hAnsi="宋体" w:eastAsia="宋体" w:cs="宋体"/>
          <w:b/>
          <w:bCs/>
          <w:lang w:val="en-US" w:eastAsia="zh-CN"/>
        </w:rPr>
        <w:t>工业互联网促进经济高质量发展座谈会在京召开</w:t>
      </w:r>
    </w:p>
    <w:p>
      <w:pPr>
        <w:pStyle w:val="6"/>
        <w:spacing w:line="348" w:lineRule="auto"/>
        <w:ind w:right="165"/>
        <w:rPr>
          <w:rFonts w:hint="eastAsia" w:ascii="宋体" w:hAnsi="宋体" w:eastAsia="宋体" w:cs="宋体"/>
          <w:lang w:val="en-US" w:eastAsia="zh-CN"/>
        </w:rPr>
      </w:pPr>
      <w:r>
        <w:rPr>
          <w:rFonts w:hint="eastAsia" w:ascii="宋体" w:hAnsi="宋体" w:eastAsia="宋体" w:cs="宋体"/>
          <w:lang w:val="en-US" w:eastAsia="zh-CN"/>
        </w:rPr>
        <w:t>2019年12月27日，工业互联网促进经济高质量发展座谈会暨中国工业互联网研究院技术专家委员会成立仪式在中国工业互联网研究院召开。工业和信息化部副部长陈肇雄出席会议并讲话。会上，中国工业互联网研究院技术专家委员会正式成立。与会院士和专家代表结合我国工业互联网发展实践，就加快我国工业互联网创新发展、推动实体经济转型升级、赋能经济高质量发展进行了研讨。</w:t>
      </w:r>
    </w:p>
    <w:p>
      <w:pPr>
        <w:pStyle w:val="6"/>
        <w:spacing w:line="348" w:lineRule="auto"/>
        <w:ind w:right="165"/>
        <w:rPr>
          <w:rFonts w:hint="eastAsia" w:ascii="宋体" w:hAnsi="宋体" w:eastAsia="宋体" w:cs="宋体"/>
          <w:lang w:val="en-US" w:eastAsia="zh-CN"/>
        </w:rPr>
      </w:pPr>
    </w:p>
    <w:p>
      <w:pPr>
        <w:pStyle w:val="6"/>
        <w:spacing w:line="348" w:lineRule="auto"/>
        <w:ind w:right="165"/>
        <w:rPr>
          <w:rFonts w:hint="eastAsia" w:ascii="宋体" w:hAnsi="宋体" w:eastAsia="宋体" w:cs="宋体"/>
          <w:b/>
          <w:bCs/>
          <w:lang w:val="en-US" w:eastAsia="zh-CN"/>
        </w:rPr>
      </w:pPr>
      <w:r>
        <w:rPr>
          <w:rFonts w:hint="eastAsia" w:ascii="宋体" w:hAnsi="宋体" w:eastAsia="宋体" w:cs="宋体"/>
          <w:b/>
          <w:bCs/>
          <w:lang w:val="en-US" w:eastAsia="zh-CN"/>
        </w:rPr>
        <w:t>河北省推进在线教育条件下的教育精准扶贫</w:t>
      </w:r>
    </w:p>
    <w:p>
      <w:pPr>
        <w:pStyle w:val="6"/>
        <w:spacing w:line="348" w:lineRule="auto"/>
        <w:ind w:right="165"/>
        <w:rPr>
          <w:rFonts w:hint="eastAsia" w:ascii="宋体" w:hAnsi="宋体" w:eastAsia="宋体" w:cs="宋体"/>
          <w:lang w:val="en-US" w:eastAsia="zh-CN"/>
        </w:rPr>
      </w:pPr>
      <w:r>
        <w:rPr>
          <w:rFonts w:hint="eastAsia" w:ascii="宋体" w:hAnsi="宋体" w:eastAsia="宋体" w:cs="宋体"/>
          <w:lang w:val="en-US" w:eastAsia="zh-CN"/>
        </w:rPr>
        <w:t>12月24日，河北省教育厅发布关于促进在线教育健康发展的实施方案。方案提出，完善优质在线教育资源服务体系,推进在线教育条件下的教育精准扶贫,加强在线教育发展保障力度,到2022年，河北全省在线教育基础设施建设水平明显提升，教育现代化和教育强省建设取得重要进展。</w:t>
      </w:r>
    </w:p>
    <w:p>
      <w:pPr>
        <w:pStyle w:val="6"/>
        <w:spacing w:line="348" w:lineRule="auto"/>
        <w:ind w:right="165"/>
        <w:rPr>
          <w:rFonts w:hint="default" w:ascii="宋体" w:hAnsi="宋体" w:eastAsia="宋体" w:cs="宋体"/>
          <w:lang w:val="en-US" w:eastAsia="zh-CN"/>
        </w:rPr>
      </w:pPr>
    </w:p>
    <w:p>
      <w:pPr>
        <w:pStyle w:val="6"/>
        <w:spacing w:line="348" w:lineRule="auto"/>
        <w:ind w:right="165"/>
        <w:rPr>
          <w:rFonts w:hint="eastAsia" w:ascii="宋体" w:hAnsi="宋体" w:eastAsia="宋体" w:cs="宋体"/>
          <w:b/>
          <w:bCs/>
          <w:lang w:val="en-US" w:eastAsia="zh-CN"/>
        </w:rPr>
      </w:pPr>
      <w:r>
        <w:rPr>
          <w:rFonts w:hint="eastAsia" w:ascii="宋体" w:hAnsi="宋体" w:eastAsia="宋体" w:cs="宋体"/>
          <w:b/>
          <w:bCs/>
          <w:lang w:val="en-US" w:eastAsia="zh-CN"/>
        </w:rPr>
        <w:t>新疆维吾尔自治区融媒体技术平台“石榴云”上线</w:t>
      </w:r>
    </w:p>
    <w:p>
      <w:pPr>
        <w:pStyle w:val="6"/>
        <w:spacing w:line="348" w:lineRule="auto"/>
        <w:ind w:right="165"/>
        <w:rPr>
          <w:rFonts w:hint="eastAsia" w:ascii="宋体" w:hAnsi="宋体" w:eastAsia="宋体" w:cs="宋体"/>
          <w:lang w:val="en-US" w:eastAsia="zh-CN"/>
        </w:rPr>
      </w:pPr>
      <w:r>
        <w:rPr>
          <w:rFonts w:hint="eastAsia" w:ascii="宋体" w:hAnsi="宋体" w:eastAsia="宋体" w:cs="宋体"/>
          <w:lang w:val="en-US" w:eastAsia="zh-CN"/>
        </w:rPr>
        <w:t>12月23日，新疆维吾尔自治区石榴云融媒体技术平台正式上线，首批建成的50个县级融媒体中心同步接入运行。石榴云平台是新疆自治区党委深入贯彻落实习近平总书记关于媒体融合发展重要论述，落实党中央关于县级融媒体中心建设决策作出的一项重大部署。平台建成上线运营，标志新疆自治区媒体融合发展迈上了新台阶。</w:t>
      </w:r>
    </w:p>
    <w:p>
      <w:pPr>
        <w:pStyle w:val="6"/>
        <w:spacing w:line="348" w:lineRule="auto"/>
        <w:ind w:right="165"/>
        <w:rPr>
          <w:rFonts w:hint="eastAsia" w:ascii="宋体" w:hAnsi="宋体" w:eastAsia="宋体" w:cs="宋体"/>
          <w:lang w:val="en-US" w:eastAsia="zh-CN"/>
        </w:rPr>
      </w:pPr>
    </w:p>
    <w:p>
      <w:pPr>
        <w:pStyle w:val="6"/>
        <w:spacing w:line="348" w:lineRule="auto"/>
        <w:ind w:right="165"/>
        <w:rPr>
          <w:rFonts w:hint="eastAsia" w:ascii="宋体" w:hAnsi="宋体" w:eastAsia="宋体" w:cs="宋体"/>
          <w:lang w:val="en-US" w:eastAsia="zh-CN"/>
        </w:rPr>
      </w:pPr>
    </w:p>
    <w:p>
      <w:pPr>
        <w:pStyle w:val="6"/>
        <w:spacing w:line="348" w:lineRule="auto"/>
        <w:ind w:right="165"/>
        <w:rPr>
          <w:rFonts w:hint="eastAsia" w:ascii="宋体" w:hAnsi="宋体" w:eastAsia="宋体" w:cs="宋体"/>
          <w:b/>
          <w:bCs/>
          <w:lang w:val="en-US" w:eastAsia="zh-CN"/>
        </w:rPr>
      </w:pPr>
      <w:r>
        <w:rPr>
          <w:rFonts w:hint="eastAsia" w:ascii="宋体" w:hAnsi="宋体" w:eastAsia="宋体" w:cs="宋体"/>
          <w:b/>
          <w:bCs/>
          <w:lang w:val="en-US" w:eastAsia="zh-CN"/>
        </w:rPr>
        <w:t>四川实现行政村“村村通光纤”</w:t>
      </w:r>
    </w:p>
    <w:p>
      <w:pPr>
        <w:pStyle w:val="6"/>
        <w:spacing w:line="348" w:lineRule="auto"/>
        <w:ind w:right="165"/>
        <w:rPr>
          <w:rFonts w:hint="eastAsia" w:ascii="宋体" w:hAnsi="宋体" w:eastAsia="宋体" w:cs="宋体"/>
          <w:lang w:val="en-US" w:eastAsia="zh-CN"/>
        </w:rPr>
      </w:pPr>
      <w:r>
        <w:rPr>
          <w:rFonts w:hint="eastAsia" w:ascii="宋体" w:hAnsi="宋体" w:eastAsia="宋体" w:cs="宋体"/>
          <w:lang w:val="en-US" w:eastAsia="zh-CN"/>
        </w:rPr>
        <w:t xml:space="preserve">近日，四川省实现4.7万个行政村“村村通光纤”的历史性跨越，提前高质量完成信息通信建设扶贫攻坚目标，为打赢脱贫攻坚战，加快乡村振兴奠定了信息化基础。下一步，四川省还将深入推进农村地区4G网络覆盖，力争2020年底前实现行政村100%通4G和重点道路4G网络全覆盖。 </w:t>
      </w:r>
    </w:p>
    <w:p>
      <w:pPr>
        <w:pStyle w:val="6"/>
        <w:spacing w:line="348" w:lineRule="auto"/>
        <w:ind w:right="165"/>
        <w:rPr>
          <w:rFonts w:hint="eastAsia" w:ascii="宋体" w:hAnsi="宋体" w:eastAsia="宋体" w:cs="宋体"/>
          <w:lang w:val="en-US" w:eastAsia="zh-CN"/>
        </w:rPr>
      </w:pPr>
    </w:p>
    <w:p>
      <w:pPr>
        <w:pStyle w:val="6"/>
        <w:spacing w:line="348" w:lineRule="auto"/>
        <w:ind w:right="165"/>
        <w:rPr>
          <w:rFonts w:hint="eastAsia" w:ascii="宋体" w:hAnsi="宋体" w:eastAsia="宋体" w:cs="宋体"/>
          <w:lang w:val="en-US" w:eastAsia="zh-CN"/>
        </w:rPr>
      </w:pPr>
    </w:p>
    <w:p>
      <w:pPr>
        <w:keepNext w:val="0"/>
        <w:keepLines w:val="0"/>
        <w:pageBreakBefore/>
        <w:widowControl w:val="0"/>
        <w:kinsoku/>
        <w:wordWrap/>
        <w:overflowPunct/>
        <w:topLinePunct w:val="0"/>
        <w:autoSpaceDE/>
        <w:autoSpaceDN/>
        <w:bidi w:val="0"/>
        <w:adjustRightInd/>
        <w:snapToGrid/>
        <w:textAlignment w:val="auto"/>
        <w:outlineLvl w:val="0"/>
        <w:rPr>
          <w:rFonts w:hint="eastAsia" w:asciiTheme="minorHAnsi" w:eastAsiaTheme="minorEastAsia"/>
          <w:b/>
          <w:bCs/>
          <w:color w:val="auto"/>
          <w:sz w:val="32"/>
          <w:szCs w:val="32"/>
          <w:lang w:val="en-US" w:eastAsia="zh-CN"/>
        </w:rPr>
      </w:pPr>
      <w:bookmarkStart w:id="3" w:name="_Toc16266"/>
      <w:bookmarkStart w:id="4" w:name="_Toc19919"/>
      <w:r>
        <w:rPr>
          <w:rFonts w:hint="eastAsia" w:asciiTheme="minorHAnsi" w:eastAsiaTheme="minorEastAsia"/>
          <w:b/>
          <w:bCs/>
          <w:color w:val="auto"/>
          <w:sz w:val="32"/>
          <w:szCs w:val="32"/>
          <w:lang w:val="en-US" w:eastAsia="zh-CN"/>
        </w:rPr>
        <w:t>【专家视点】</w:t>
      </w:r>
      <w:bookmarkEnd w:id="3"/>
      <w:bookmarkEnd w:id="4"/>
    </w:p>
    <w:p>
      <w:pPr>
        <w:pStyle w:val="6"/>
        <w:spacing w:line="348" w:lineRule="auto"/>
        <w:ind w:right="165"/>
        <w:jc w:val="center"/>
        <w:outlineLvl w:val="1"/>
        <w:rPr>
          <w:rFonts w:hint="eastAsia" w:ascii="宋体" w:hAnsi="宋体" w:eastAsia="宋体" w:cs="宋体"/>
          <w:b/>
          <w:bCs/>
          <w:lang w:val="en-US" w:eastAsia="zh-CN"/>
        </w:rPr>
      </w:pPr>
      <w:bookmarkStart w:id="5" w:name="_Toc26611"/>
      <w:bookmarkStart w:id="6" w:name="_Toc20617"/>
      <w:r>
        <w:rPr>
          <w:rFonts w:hint="eastAsia" w:ascii="宋体" w:hAnsi="宋体" w:eastAsia="宋体" w:cs="宋体"/>
          <w:b/>
          <w:bCs/>
          <w:lang w:val="en-US" w:eastAsia="zh-CN"/>
        </w:rPr>
        <w:t>王钦敏：发展电子政务是提升国家治理能力的重要抓手</w:t>
      </w:r>
      <w:bookmarkEnd w:id="5"/>
      <w:bookmarkEnd w:id="6"/>
    </w:p>
    <w:p>
      <w:pPr>
        <w:pStyle w:val="6"/>
        <w:spacing w:line="348" w:lineRule="auto"/>
        <w:ind w:right="165" w:firstLine="561"/>
        <w:rPr>
          <w:rFonts w:hint="eastAsia" w:ascii="宋体" w:hAnsi="宋体" w:eastAsia="宋体" w:cs="宋体"/>
          <w:lang w:val="en-US" w:eastAsia="zh-CN"/>
        </w:rPr>
      </w:pPr>
      <w:r>
        <w:rPr>
          <w:rFonts w:hint="eastAsia" w:ascii="宋体" w:hAnsi="宋体" w:eastAsia="宋体" w:cs="宋体"/>
          <w:lang w:val="en-US" w:eastAsia="zh-CN"/>
        </w:rPr>
        <w:t>新时代，国家治理能力成为将我国制度优势更好地转化为国家治理效能的关键。新技术对国家治理能力的影响将更加深远，发展电子政务为推进国家治理能力现代化提供了新路径。用电子政务推动国家治理能力现代化是一篇大文章，须久久为功。我们要深入贯彻落实党的十九届四中全会精神，加快推进电子政务建设，助力国家治理体系和治理能力现代化。</w:t>
      </w:r>
    </w:p>
    <w:p>
      <w:pPr>
        <w:pStyle w:val="6"/>
        <w:spacing w:line="348" w:lineRule="auto"/>
        <w:ind w:right="165" w:firstLine="561"/>
        <w:rPr>
          <w:rFonts w:hint="eastAsia" w:ascii="宋体" w:hAnsi="宋体" w:eastAsia="宋体" w:cs="宋体"/>
          <w:lang w:val="en-US" w:eastAsia="zh-CN"/>
        </w:rPr>
      </w:pPr>
    </w:p>
    <w:p>
      <w:pPr>
        <w:pStyle w:val="6"/>
        <w:spacing w:line="348" w:lineRule="auto"/>
        <w:ind w:right="165"/>
        <w:rPr>
          <w:rFonts w:hint="eastAsia" w:ascii="宋体" w:hAnsi="宋体" w:eastAsia="宋体" w:cs="宋体"/>
          <w:lang w:val="en-US" w:eastAsia="zh-CN"/>
        </w:rPr>
      </w:pPr>
      <w:r>
        <w:rPr>
          <w:rFonts w:hint="eastAsia" w:ascii="宋体" w:hAnsi="宋体" w:eastAsia="宋体" w:cs="宋体"/>
          <w:b/>
          <w:bCs/>
          <w:lang w:val="en-US" w:eastAsia="zh-CN"/>
        </w:rPr>
        <w:t>国家治理能力是将我国制度优势更好地转化为国家治理效能的关键</w:t>
      </w:r>
    </w:p>
    <w:p>
      <w:pPr>
        <w:pStyle w:val="6"/>
        <w:spacing w:line="348" w:lineRule="auto"/>
        <w:ind w:right="165"/>
        <w:rPr>
          <w:rFonts w:hint="eastAsia" w:ascii="宋体" w:hAnsi="宋体" w:eastAsia="宋体" w:cs="宋体"/>
          <w:lang w:val="en-US" w:eastAsia="zh-CN"/>
        </w:rPr>
      </w:pPr>
      <w:r>
        <w:rPr>
          <w:rFonts w:hint="eastAsia" w:ascii="宋体" w:hAnsi="宋体" w:eastAsia="宋体" w:cs="宋体"/>
          <w:lang w:val="en-US" w:eastAsia="zh-CN"/>
        </w:rPr>
        <w:t>　　“经国序民，正其制度”。中国特色社会主义制度是确保党长期执政和国家长治久安的根本保障，是实现“两个一百年”奋斗目标和中华民族伟大复兴中国梦的有力保证。习近平总书记强调，推动中国特色社会主义制度更加成熟更加定型。国家治理体系是在党领导下管理国家的制度体系，包括经济、政治、社会、文化、生态文明和党的建设等各领域的体制机制和法律法规安排。党的十九届四中全会从13个方面凝练概括了我国国家制度和国家治理体系的显著优势，这是我们党领导人民创造世所罕见的经济快速发展和社会长期稳定奇迹的根本保障所在，是“中国之治”的制度关键内涵所在，也是增强“四个意识”，坚定“四个自信”，做到“两个维护”的基本依据所在。</w:t>
      </w:r>
    </w:p>
    <w:p>
      <w:pPr>
        <w:pStyle w:val="6"/>
        <w:spacing w:line="348" w:lineRule="auto"/>
        <w:ind w:right="165" w:firstLine="561"/>
        <w:rPr>
          <w:rFonts w:hint="eastAsia" w:ascii="宋体" w:hAnsi="宋体" w:eastAsia="宋体" w:cs="宋体"/>
          <w:lang w:val="en-US" w:eastAsia="zh-CN"/>
        </w:rPr>
      </w:pPr>
      <w:r>
        <w:rPr>
          <w:rFonts w:hint="eastAsia" w:ascii="宋体" w:hAnsi="宋体" w:eastAsia="宋体" w:cs="宋体"/>
          <w:lang w:val="en-US" w:eastAsia="zh-CN"/>
        </w:rPr>
        <w:t>国家治理能力是一个国家的制度和制度执行能力的集中体现，而国家治理能力现代化则是中国特色社会主义制度完善、体制变革和机制创新的国家治理文明发展进程。党的十九届四中全会是推动国家治理现代化伟大进程新的里程碑。全会提出，把我国制度优势更好转化为国家治理效能。这就要求既要构建系统完备、科学规范、运行有效的制度体系，又要加强系统治理、依法治理、综合治理、源头治理和科技支撑，把“制”与“治”两个方面有机结合起来，在持续完善中国特色社会主义制度的同时，不断提升治理能力现代化水平，让制度更加有效地运转起来。</w:t>
      </w:r>
    </w:p>
    <w:p>
      <w:pPr>
        <w:pStyle w:val="6"/>
        <w:spacing w:line="348" w:lineRule="auto"/>
        <w:ind w:right="165" w:firstLine="561"/>
        <w:rPr>
          <w:rFonts w:hint="eastAsia" w:ascii="宋体" w:hAnsi="宋体" w:eastAsia="宋体" w:cs="宋体"/>
          <w:lang w:val="en-US" w:eastAsia="zh-CN"/>
        </w:rPr>
      </w:pPr>
    </w:p>
    <w:p>
      <w:pPr>
        <w:pStyle w:val="6"/>
        <w:spacing w:line="348" w:lineRule="auto"/>
        <w:ind w:right="165"/>
        <w:rPr>
          <w:rFonts w:hint="eastAsia" w:ascii="宋体" w:hAnsi="宋体" w:eastAsia="宋体" w:cs="宋体"/>
          <w:lang w:val="en-US" w:eastAsia="zh-CN"/>
        </w:rPr>
      </w:pPr>
      <w:r>
        <w:rPr>
          <w:rFonts w:hint="eastAsia" w:ascii="宋体" w:hAnsi="宋体" w:eastAsia="宋体" w:cs="宋体"/>
          <w:b/>
          <w:bCs/>
          <w:lang w:val="en-US" w:eastAsia="zh-CN"/>
        </w:rPr>
        <w:t>新技术对国家治理能力的影响将更加深远</w:t>
      </w:r>
    </w:p>
    <w:p>
      <w:pPr>
        <w:pStyle w:val="6"/>
        <w:spacing w:line="348" w:lineRule="auto"/>
        <w:ind w:right="165"/>
        <w:rPr>
          <w:rFonts w:hint="eastAsia" w:ascii="宋体" w:hAnsi="宋体" w:eastAsia="宋体" w:cs="宋体"/>
          <w:lang w:val="en-US" w:eastAsia="zh-CN"/>
        </w:rPr>
      </w:pPr>
      <w:r>
        <w:rPr>
          <w:rFonts w:hint="eastAsia" w:ascii="宋体" w:hAnsi="宋体" w:eastAsia="宋体" w:cs="宋体"/>
          <w:lang w:val="en-US" w:eastAsia="zh-CN"/>
        </w:rPr>
        <w:t>　　习近平总书记指出，“互联网是‘最大变量’”。“谁掌握了互联网，谁就把握住了时代主动权；谁轻视互联网，谁就会被时代所抛弃”。“过不了互联网这一关，就过不了长期执政这一关”。以移动互联网、大数据、人工智能、区块链等为代表的新技术应用极大地推动了各国社会生产力的发展和生产关系的重塑，引发了各国在政治、经济、社会、文化等重要领域的深刻变革，显著地改变着政府、市场和社会的关系。</w:t>
      </w:r>
    </w:p>
    <w:p>
      <w:pPr>
        <w:pStyle w:val="6"/>
        <w:spacing w:line="348" w:lineRule="auto"/>
        <w:ind w:right="165"/>
        <w:rPr>
          <w:rFonts w:hint="eastAsia" w:ascii="宋体" w:hAnsi="宋体" w:eastAsia="宋体" w:cs="宋体"/>
          <w:lang w:val="en-US" w:eastAsia="zh-CN"/>
        </w:rPr>
      </w:pPr>
      <w:r>
        <w:rPr>
          <w:rFonts w:hint="eastAsia" w:ascii="宋体" w:hAnsi="宋体" w:eastAsia="宋体" w:cs="宋体"/>
          <w:lang w:val="en-US" w:eastAsia="zh-CN"/>
        </w:rPr>
        <w:t>　　党的十九届四中全会提出“建立健全运用互联网、大数据、人工智能等技术手段进行行政管理的制度规则”作为“坚持和完善中国特色社会主义行政体制，构建职责明确、依法行政的政府治理体系”的重要内容，发展电子政务本质上就是在公共部门运用新技术，创新公共治理方式，优化公共服务流程，提高公共服务效能，推动政府治理体系和治理能力现代化。新形势下，政府如何处理好电子政务的技术标准规范和公共治理的价值理性的关系，让创新更多惠及全社会，需要更加科学、更加智能的公共治理模式。</w:t>
      </w:r>
    </w:p>
    <w:p>
      <w:pPr>
        <w:pStyle w:val="6"/>
        <w:spacing w:line="348" w:lineRule="auto"/>
        <w:ind w:right="165" w:firstLine="561"/>
        <w:rPr>
          <w:rFonts w:hint="eastAsia" w:ascii="宋体" w:hAnsi="宋体" w:eastAsia="宋体" w:cs="宋体"/>
          <w:lang w:val="en-US" w:eastAsia="zh-CN"/>
        </w:rPr>
      </w:pPr>
      <w:r>
        <w:rPr>
          <w:rFonts w:hint="eastAsia" w:ascii="宋体" w:hAnsi="宋体" w:eastAsia="宋体" w:cs="宋体"/>
          <w:lang w:val="en-US" w:eastAsia="zh-CN"/>
        </w:rPr>
        <w:t>推动国家治理体系和治理能力现代化离不开新技术、新手段的支撑，在推进国家治理现代化的进程中，发展电子政务无疑是加快这一进程的重要路径，也是不可缺少的重要手段。经过十几年的快速发展，特别是党的十八大以来，国家电子政务统筹协调机制逐步理顺，顶层设计不断完善，专家咨询制度基本建立，电子政务在提升党的执政能力、改善公共服务、优化营商环境、提高公共治理水平等方面发挥越来越重要的作用。</w:t>
      </w:r>
    </w:p>
    <w:p>
      <w:pPr>
        <w:pStyle w:val="6"/>
        <w:spacing w:line="348" w:lineRule="auto"/>
        <w:ind w:right="165" w:firstLine="561"/>
        <w:rPr>
          <w:rFonts w:hint="eastAsia" w:ascii="宋体" w:hAnsi="宋体" w:eastAsia="宋体" w:cs="宋体"/>
          <w:lang w:val="en-US" w:eastAsia="zh-CN"/>
        </w:rPr>
      </w:pPr>
    </w:p>
    <w:p>
      <w:pPr>
        <w:pStyle w:val="6"/>
        <w:spacing w:line="348" w:lineRule="auto"/>
        <w:ind w:right="165"/>
        <w:rPr>
          <w:rFonts w:hint="eastAsia" w:ascii="宋体" w:hAnsi="宋体" w:eastAsia="宋体" w:cs="宋体"/>
          <w:lang w:val="en-US" w:eastAsia="zh-CN"/>
        </w:rPr>
      </w:pPr>
      <w:r>
        <w:rPr>
          <w:rFonts w:hint="eastAsia" w:ascii="宋体" w:hAnsi="宋体" w:eastAsia="宋体" w:cs="宋体"/>
          <w:b/>
          <w:bCs/>
          <w:lang w:val="en-US" w:eastAsia="zh-CN"/>
        </w:rPr>
        <w:t>电子政务为提升国家治理能力现代化提供新路径</w:t>
      </w:r>
    </w:p>
    <w:p>
      <w:pPr>
        <w:pStyle w:val="6"/>
        <w:spacing w:line="348" w:lineRule="auto"/>
        <w:ind w:right="165"/>
        <w:rPr>
          <w:rFonts w:hint="eastAsia" w:ascii="宋体" w:hAnsi="宋体" w:eastAsia="宋体" w:cs="宋体"/>
          <w:lang w:val="en-US" w:eastAsia="zh-CN"/>
        </w:rPr>
      </w:pPr>
      <w:r>
        <w:rPr>
          <w:rFonts w:hint="eastAsia" w:ascii="宋体" w:hAnsi="宋体" w:eastAsia="宋体" w:cs="宋体"/>
          <w:lang w:val="en-US" w:eastAsia="zh-CN"/>
        </w:rPr>
        <w:t>　　优化公共服务新方式。要贯彻以人民为中心的发展思想。党的十八大以来，党中央、国务院深入推进“互联网＋政务服务”，让百姓少跑腿、数据多跑路，人民群众的获得感和满意度不断增强。党的十九届四中全会进一步提出“创新行政管理和服务方式，加快推进全国一体化政务服务平台建设”，从根本上讲，推行电子政务就是要改善政府管理、服务人民群众，推动政府组织结构和办事流程的优化重组，为社会提供内容丰富、功能集成、办事便捷高效、线上线下融合的一站式政务服务，构建集约化、高效化、透明化的政府治理与运行模式，实现政府办事从单部门循环向多部门协同、全流程优化的转变。</w:t>
      </w:r>
    </w:p>
    <w:p>
      <w:pPr>
        <w:pStyle w:val="6"/>
        <w:spacing w:line="348" w:lineRule="auto"/>
        <w:ind w:right="165"/>
        <w:rPr>
          <w:rFonts w:hint="eastAsia" w:ascii="宋体" w:hAnsi="宋体" w:eastAsia="宋体" w:cs="宋体"/>
          <w:lang w:val="en-US" w:eastAsia="zh-CN"/>
        </w:rPr>
      </w:pPr>
      <w:r>
        <w:rPr>
          <w:rFonts w:hint="eastAsia" w:ascii="宋体" w:hAnsi="宋体" w:eastAsia="宋体" w:cs="宋体"/>
          <w:lang w:val="en-US" w:eastAsia="zh-CN"/>
        </w:rPr>
        <w:t>　　提升行政效能新工具。电子政务是政府治理体系和治理能力现代化的重要工具，是降低行政成本，提高行政效率的有效抓手。电子政务不是简单地将政务活动数字化，而是要面向公共服务和社会治理需求，对跨部门、跨行业的网络资源、数据资源和系统资源进行资源整合，推进政府业务协同，政务流程再造，提高服务能力和业务效能。助力提升决策的科学化水平，提高对风险因素的感知、预测、防范能力，使决策方式由“经验决策”转向“数据决策”、由“事后诸葛”转向“事前预警”。在方便群众办事的同时，电子政务在加强监管方面也发挥重要作用，通过“互联网＋监管”可实时掌握违法违规、投诉举报、消费维权等信息，提前识别目标、发现隐患所在，增强政务监管和市场监管的智能化、精准化水平，实现监管事项的全覆盖、监管过程的全记录、监管工作的可追溯、监管问题责任的可追究，以及对监管的可监管，真正实现实时监管、协同监管、精准监管和跨部门联合监管。</w:t>
      </w:r>
    </w:p>
    <w:p>
      <w:pPr>
        <w:pStyle w:val="6"/>
        <w:spacing w:line="348" w:lineRule="auto"/>
        <w:ind w:right="165"/>
        <w:rPr>
          <w:rFonts w:hint="eastAsia" w:ascii="宋体" w:hAnsi="宋体" w:eastAsia="宋体" w:cs="宋体"/>
          <w:lang w:val="en-US" w:eastAsia="zh-CN"/>
        </w:rPr>
      </w:pPr>
      <w:r>
        <w:rPr>
          <w:rFonts w:hint="eastAsia" w:ascii="宋体" w:hAnsi="宋体" w:eastAsia="宋体" w:cs="宋体"/>
          <w:lang w:val="en-US" w:eastAsia="zh-CN"/>
        </w:rPr>
        <w:t>　　推进管理创新新动力。党的十九届四中全会明确指出要推进数字政府建设。充分利用新技术开展数字政府建设是新时代政府治理体系和管理模式的一项创新。各地坚持以人民为中心的发展思想，积极探索建设人民满意的服务型政府，战略性运用互联网思维，深入实施“数字政府”改革，不断创新适应数字化时代的行政管理体制，积极探索政府治理新模式。近年来，我国经济快速发展，2018年我国GDP超过90万亿元，市场主体已超过1亿户；城市化进程持续加快，城市人口从1978年占全国的18％增长到54％，近90个城市城区人口超过百万。城市人口聚集和市场主体规模扩大在给城乡发展、社会治理和公共服务带来新挑战的同时，也为各地创新政府治理提供了新动力。</w:t>
      </w:r>
    </w:p>
    <w:p>
      <w:pPr>
        <w:pStyle w:val="6"/>
        <w:spacing w:line="348" w:lineRule="auto"/>
        <w:ind w:right="165"/>
        <w:rPr>
          <w:rFonts w:hint="eastAsia" w:ascii="宋体" w:hAnsi="宋体" w:eastAsia="宋体" w:cs="宋体"/>
          <w:lang w:val="en-US" w:eastAsia="zh-CN"/>
        </w:rPr>
      </w:pPr>
      <w:r>
        <w:rPr>
          <w:rFonts w:hint="eastAsia" w:ascii="宋体" w:hAnsi="宋体" w:eastAsia="宋体" w:cs="宋体"/>
          <w:lang w:val="en-US" w:eastAsia="zh-CN"/>
        </w:rPr>
        <w:t>　　改善营商环境新手段。党的十九届四中全会指出“深入推进简政放权、放管结合、优化服务，深化行政审批制度改革，改善营商环境，激发各类市场主体活力”。</w:t>
      </w:r>
    </w:p>
    <w:p>
      <w:pPr>
        <w:pStyle w:val="6"/>
        <w:spacing w:line="348" w:lineRule="auto"/>
        <w:ind w:right="165"/>
        <w:rPr>
          <w:rFonts w:hint="eastAsia" w:ascii="宋体" w:hAnsi="宋体" w:eastAsia="宋体" w:cs="宋体"/>
          <w:lang w:val="en-US" w:eastAsia="zh-CN"/>
        </w:rPr>
      </w:pPr>
      <w:r>
        <w:rPr>
          <w:rFonts w:hint="eastAsia" w:ascii="宋体" w:hAnsi="宋体" w:eastAsia="宋体" w:cs="宋体"/>
          <w:lang w:val="en-US" w:eastAsia="zh-CN"/>
        </w:rPr>
        <w:t>　　从根本上讲，发展高质量的电子政务是深入推进“放管服”改革、营造良好营商环境、提供有效的政策和公共服务供给的内在要求。一是充分利用电子政务建设的创新成果，提升政府管理与公共服务能力，打造现代高效透明的政务环境，主动营造良好的营商环境。二是充分发挥电子政务在服务和带动关键核心技术突破中的市场牵引作用，培育自主可控的新一代信息技术和产业体系。三是发挥电子政务在构建社会信用体系中的核心作用。通过构建信用风险预警模型，实时捕捉信用事件、监测企业信用状况和红灰黑名单迁徙状态，对企业、行业、区域信用状况进行监测，实现对经营异常企业的跟踪监测，对存在违法、违规、违约、欺诈风险的企业进行分级预警。随着电子政务的不断深化应用，以期更大力度推进市场要素有效流动，更大限度激发市场活力和社会创造力。</w:t>
      </w:r>
    </w:p>
    <w:p>
      <w:pPr>
        <w:pStyle w:val="6"/>
        <w:spacing w:line="348" w:lineRule="auto"/>
        <w:ind w:right="165"/>
        <w:rPr>
          <w:rFonts w:hint="eastAsia" w:ascii="宋体" w:hAnsi="宋体" w:eastAsia="宋体" w:cs="宋体"/>
          <w:lang w:val="en-US" w:eastAsia="zh-CN"/>
        </w:rPr>
      </w:pPr>
      <w:r>
        <w:rPr>
          <w:rFonts w:hint="eastAsia" w:ascii="宋体" w:hAnsi="宋体" w:eastAsia="宋体" w:cs="宋体"/>
          <w:lang w:val="en-US" w:eastAsia="zh-CN"/>
        </w:rPr>
        <w:t>　　社会治理新支撑。党的十九届四中全会指出“完善党委领导、政府负责、民主协商、社会协同、公众参与、法治保障、科技支撑的社会治理体系”，特别强调了科技支撑对社会治理体系建设的积极作用。智能化是社会治理现代化的重要手段，运用智能化新技术精准匹配社会治理资源，缩短服务群众距离，优化社会治理效能，实现社会治理方式的革命性变革。加强以智能化为显著特征的社会治安防控体系建设，综合运用新一代信息技术，强化对各类基础要素的时空关联和动态信息的汇总研判、挖掘分析，精准掌握变量，准确把握趋势，提高预测预警预防能力。同时发挥第三方评估对社会监督的重要支撑作用，完善多元社会监督制度建设，促进服务和治理能力提升、促进市场经济运行有效监管和公共政策执行落实。</w:t>
      </w:r>
    </w:p>
    <w:p>
      <w:pPr>
        <w:pStyle w:val="6"/>
        <w:spacing w:line="348" w:lineRule="auto"/>
        <w:ind w:right="165"/>
        <w:rPr>
          <w:rFonts w:hint="eastAsia" w:ascii="宋体" w:hAnsi="宋体" w:eastAsia="宋体" w:cs="宋体"/>
          <w:lang w:val="en-US" w:eastAsia="zh-CN"/>
        </w:rPr>
      </w:pPr>
    </w:p>
    <w:p>
      <w:pPr>
        <w:pStyle w:val="6"/>
        <w:spacing w:line="348" w:lineRule="auto"/>
        <w:ind w:right="165"/>
        <w:rPr>
          <w:rFonts w:hint="eastAsia" w:ascii="宋体" w:hAnsi="宋体" w:eastAsia="宋体" w:cs="宋体"/>
          <w:lang w:val="en-US" w:eastAsia="zh-CN"/>
        </w:rPr>
      </w:pPr>
      <w:r>
        <w:rPr>
          <w:rFonts w:hint="eastAsia" w:ascii="宋体" w:hAnsi="宋体" w:eastAsia="宋体" w:cs="宋体"/>
          <w:lang w:val="en-US" w:eastAsia="zh-CN"/>
        </w:rPr>
        <w:t xml:space="preserve">作者王钦敏：第十二届全国政协副主席、国家电子政务专家委员会主任 </w:t>
      </w:r>
    </w:p>
    <w:p>
      <w:pPr>
        <w:pStyle w:val="6"/>
        <w:spacing w:line="348" w:lineRule="auto"/>
        <w:ind w:right="165"/>
        <w:rPr>
          <w:rFonts w:hint="eastAsia" w:ascii="宋体" w:hAnsi="宋体" w:eastAsia="宋体" w:cs="宋体"/>
          <w:lang w:val="en-US" w:eastAsia="zh-CN"/>
        </w:rPr>
      </w:pPr>
    </w:p>
    <w:p>
      <w:pPr>
        <w:pStyle w:val="6"/>
        <w:spacing w:line="348" w:lineRule="auto"/>
        <w:ind w:right="165"/>
        <w:rPr>
          <w:rFonts w:hint="default" w:ascii="宋体" w:hAnsi="宋体" w:eastAsia="宋体" w:cs="宋体"/>
          <w:lang w:val="en-US" w:eastAsia="zh-CN"/>
        </w:rPr>
      </w:pPr>
      <w:r>
        <w:rPr>
          <w:rFonts w:hint="eastAsia" w:ascii="宋体" w:hAnsi="宋体" w:eastAsia="宋体" w:cs="宋体"/>
          <w:lang w:val="en-US" w:eastAsia="zh-CN"/>
        </w:rPr>
        <w:t>（来源于学习时报）</w:t>
      </w:r>
    </w:p>
    <w:p>
      <w:pPr>
        <w:pStyle w:val="6"/>
        <w:spacing w:line="348" w:lineRule="auto"/>
        <w:ind w:right="165"/>
        <w:rPr>
          <w:rFonts w:hint="eastAsia" w:ascii="宋体" w:hAnsi="宋体" w:eastAsia="宋体" w:cs="宋体"/>
          <w:lang w:val="en-US" w:eastAsia="zh-CN"/>
        </w:rPr>
      </w:pPr>
    </w:p>
    <w:p>
      <w:pPr>
        <w:pStyle w:val="6"/>
        <w:spacing w:line="348" w:lineRule="auto"/>
        <w:ind w:right="165"/>
        <w:jc w:val="center"/>
        <w:rPr>
          <w:rFonts w:hint="eastAsia" w:ascii="宋体" w:hAnsi="宋体" w:eastAsia="宋体" w:cs="宋体"/>
          <w:b/>
          <w:bCs/>
          <w:lang w:val="en-US" w:eastAsia="zh-CN"/>
        </w:rPr>
      </w:pPr>
    </w:p>
    <w:p>
      <w:pPr>
        <w:pStyle w:val="6"/>
        <w:spacing w:line="348" w:lineRule="auto"/>
        <w:ind w:right="165"/>
        <w:jc w:val="center"/>
        <w:rPr>
          <w:rFonts w:hint="eastAsia" w:ascii="宋体" w:hAnsi="宋体" w:eastAsia="宋体" w:cs="宋体"/>
          <w:b/>
          <w:bCs/>
          <w:lang w:val="en-US" w:eastAsia="zh-CN"/>
        </w:rPr>
      </w:pPr>
    </w:p>
    <w:p>
      <w:pPr>
        <w:pStyle w:val="6"/>
        <w:spacing w:line="348" w:lineRule="auto"/>
        <w:ind w:right="165"/>
        <w:jc w:val="center"/>
        <w:rPr>
          <w:rFonts w:hint="eastAsia" w:ascii="宋体" w:hAnsi="宋体" w:eastAsia="宋体" w:cs="宋体"/>
          <w:b/>
          <w:bCs/>
          <w:lang w:val="en-US" w:eastAsia="zh-CN"/>
        </w:rPr>
      </w:pPr>
    </w:p>
    <w:p>
      <w:pPr>
        <w:pStyle w:val="6"/>
        <w:spacing w:line="348" w:lineRule="auto"/>
        <w:ind w:right="165"/>
        <w:jc w:val="center"/>
        <w:rPr>
          <w:rFonts w:hint="eastAsia" w:ascii="宋体" w:hAnsi="宋体" w:eastAsia="宋体" w:cs="宋体"/>
          <w:b/>
          <w:bCs/>
          <w:lang w:val="en-US" w:eastAsia="zh-CN"/>
        </w:rPr>
      </w:pPr>
    </w:p>
    <w:p>
      <w:pPr>
        <w:pStyle w:val="6"/>
        <w:spacing w:line="348" w:lineRule="auto"/>
        <w:ind w:right="165"/>
        <w:jc w:val="center"/>
        <w:rPr>
          <w:rFonts w:hint="eastAsia" w:ascii="宋体" w:hAnsi="宋体" w:eastAsia="宋体" w:cs="宋体"/>
          <w:b/>
          <w:bCs/>
          <w:lang w:val="en-US" w:eastAsia="zh-CN"/>
        </w:rPr>
      </w:pPr>
    </w:p>
    <w:p>
      <w:pPr>
        <w:pStyle w:val="6"/>
        <w:spacing w:line="348" w:lineRule="auto"/>
        <w:ind w:right="165"/>
        <w:jc w:val="center"/>
        <w:rPr>
          <w:rFonts w:hint="eastAsia" w:ascii="宋体" w:hAnsi="宋体" w:eastAsia="宋体" w:cs="宋体"/>
          <w:b/>
          <w:bCs/>
          <w:lang w:val="en-US" w:eastAsia="zh-CN"/>
        </w:rPr>
      </w:pPr>
    </w:p>
    <w:p>
      <w:pPr>
        <w:pStyle w:val="6"/>
        <w:spacing w:line="348" w:lineRule="auto"/>
        <w:ind w:right="165"/>
        <w:jc w:val="center"/>
        <w:outlineLvl w:val="1"/>
        <w:rPr>
          <w:rFonts w:hint="eastAsia" w:ascii="宋体" w:hAnsi="宋体" w:eastAsia="宋体" w:cs="宋体"/>
          <w:b/>
          <w:bCs/>
          <w:lang w:val="en-US" w:eastAsia="zh-CN"/>
        </w:rPr>
      </w:pPr>
      <w:bookmarkStart w:id="7" w:name="_Toc24973"/>
      <w:bookmarkStart w:id="8" w:name="_Toc21146"/>
    </w:p>
    <w:p>
      <w:pPr>
        <w:pStyle w:val="6"/>
        <w:spacing w:line="348" w:lineRule="auto"/>
        <w:ind w:right="165"/>
        <w:jc w:val="both"/>
        <w:outlineLvl w:val="1"/>
        <w:rPr>
          <w:rFonts w:hint="eastAsia" w:ascii="宋体" w:hAnsi="宋体" w:eastAsia="宋体" w:cs="宋体"/>
          <w:b/>
          <w:bCs/>
          <w:lang w:val="en-US" w:eastAsia="zh-CN"/>
        </w:rPr>
      </w:pPr>
    </w:p>
    <w:p>
      <w:pPr>
        <w:pStyle w:val="6"/>
        <w:spacing w:line="348" w:lineRule="auto"/>
        <w:ind w:right="165"/>
        <w:jc w:val="center"/>
        <w:outlineLvl w:val="1"/>
        <w:rPr>
          <w:rFonts w:hint="eastAsia" w:ascii="宋体" w:hAnsi="宋体" w:eastAsia="宋体" w:cs="宋体"/>
          <w:b/>
          <w:bCs/>
          <w:lang w:val="en-US" w:eastAsia="zh-CN"/>
        </w:rPr>
      </w:pPr>
      <w:r>
        <w:rPr>
          <w:rFonts w:hint="eastAsia" w:ascii="宋体" w:hAnsi="宋体" w:eastAsia="宋体" w:cs="宋体"/>
          <w:b/>
          <w:bCs/>
          <w:lang w:val="en-US" w:eastAsia="zh-CN"/>
        </w:rPr>
        <w:t>王丽娜：国策数据，为政府数据资产赋能</w:t>
      </w:r>
      <w:bookmarkEnd w:id="7"/>
      <w:bookmarkEnd w:id="8"/>
    </w:p>
    <w:p>
      <w:pPr>
        <w:pStyle w:val="6"/>
        <w:spacing w:line="348" w:lineRule="auto"/>
        <w:ind w:right="165"/>
        <w:rPr>
          <w:rFonts w:hint="eastAsia" w:ascii="宋体" w:hAnsi="宋体" w:eastAsia="宋体" w:cs="宋体"/>
          <w:lang w:val="en-US" w:eastAsia="zh-CN"/>
        </w:rPr>
      </w:pPr>
      <w:r>
        <w:rPr>
          <w:rFonts w:hint="eastAsia" w:ascii="宋体" w:hAnsi="宋体" w:eastAsia="宋体" w:cs="宋体"/>
          <w:lang w:val="en-US" w:eastAsia="zh-CN"/>
        </w:rPr>
        <w:t>　　我国将全面落实大数据战略，数据治理是盘活数据资产、释放数据价值的关键，十九大明确提出要加快推进信息化，建设“数字中国”、“智慧社会”，国务院印发《促进大数据发展行动纲要》及工信部出台《大数据产业发展规划》，广东、上海等省市也都在政策层面提出数据治理的方案和重点。</w:t>
      </w:r>
    </w:p>
    <w:p>
      <w:pPr>
        <w:pStyle w:val="6"/>
        <w:spacing w:line="348" w:lineRule="auto"/>
        <w:ind w:right="165"/>
        <w:rPr>
          <w:rFonts w:hint="eastAsia" w:ascii="宋体" w:hAnsi="宋体" w:eastAsia="宋体" w:cs="宋体"/>
          <w:lang w:val="en-US" w:eastAsia="zh-CN"/>
        </w:rPr>
      </w:pPr>
      <w:r>
        <w:rPr>
          <w:rFonts w:hint="eastAsia" w:ascii="宋体" w:hAnsi="宋体" w:eastAsia="宋体" w:cs="宋体"/>
          <w:lang w:val="en-US" w:eastAsia="zh-CN"/>
        </w:rPr>
        <w:t>　　一、政府数据资产及数据资产治理</w:t>
      </w:r>
    </w:p>
    <w:p>
      <w:pPr>
        <w:pStyle w:val="6"/>
        <w:spacing w:line="348" w:lineRule="auto"/>
        <w:ind w:right="165"/>
        <w:rPr>
          <w:rFonts w:hint="eastAsia" w:ascii="宋体" w:hAnsi="宋体" w:eastAsia="宋体" w:cs="宋体"/>
          <w:lang w:val="en-US" w:eastAsia="zh-CN"/>
        </w:rPr>
      </w:pPr>
      <w:r>
        <w:rPr>
          <w:rFonts w:hint="eastAsia" w:ascii="宋体" w:hAnsi="宋体" w:eastAsia="宋体" w:cs="宋体"/>
          <w:lang w:val="en-US" w:eastAsia="zh-CN"/>
        </w:rPr>
        <w:t>　　什么是政府数据资产？政府数据资产包括哪些方面？“政府数据资产”，是指由政务服务实施机构建设、管理、使用的各类业务应用系统，以及利用业务应用系统依法依规直接或间接采集、使用、产生、管理的，具有经济、社会等方面价值，权属明晰、可量化、可控制、可交换的非涉密政府数据。现在政府数据资产主要包括政务数据资产、业务系统及应用资产、企业信息资产、政策数据资产及其他数据资产。那在这些数据资产中，什么是政策数据资产？政策数据资产又从哪里获取？如政策申报服务、综合信息服务、诉求反馈服务、政策应用服务、数据分析服务中，都蕴藏着大量的政策数据资产。</w:t>
      </w:r>
    </w:p>
    <w:p>
      <w:pPr>
        <w:pStyle w:val="6"/>
        <w:spacing w:line="348" w:lineRule="auto"/>
        <w:ind w:right="165"/>
        <w:rPr>
          <w:rFonts w:hint="eastAsia" w:ascii="宋体" w:hAnsi="宋体" w:eastAsia="宋体" w:cs="宋体"/>
          <w:lang w:val="en-US" w:eastAsia="zh-CN"/>
        </w:rPr>
      </w:pPr>
      <w:r>
        <w:rPr>
          <w:rFonts w:hint="eastAsia" w:ascii="宋体" w:hAnsi="宋体" w:eastAsia="宋体" w:cs="宋体"/>
          <w:lang w:val="en-US" w:eastAsia="zh-CN"/>
        </w:rPr>
        <w:t>　　二、政策数据资产治理与应用现状</w:t>
      </w:r>
    </w:p>
    <w:p>
      <w:pPr>
        <w:pStyle w:val="6"/>
        <w:spacing w:line="348" w:lineRule="auto"/>
        <w:ind w:right="165"/>
        <w:rPr>
          <w:rFonts w:hint="eastAsia" w:ascii="宋体" w:hAnsi="宋体" w:eastAsia="宋体" w:cs="宋体"/>
          <w:lang w:val="en-US" w:eastAsia="zh-CN"/>
        </w:rPr>
      </w:pPr>
      <w:r>
        <w:rPr>
          <w:rFonts w:hint="eastAsia" w:ascii="宋体" w:hAnsi="宋体" w:eastAsia="宋体" w:cs="宋体"/>
          <w:lang w:val="en-US" w:eastAsia="zh-CN"/>
        </w:rPr>
        <w:t>　　大家都知道政策是一座城市的温度，是一座城市的风向标，通过政策数据梳理发现城市的方向，城市对各行各业、各类主体的政策一目了然；为什么要进行政策数据的治理？是因为现在重视数据，但是并不重视政策数据，导致政策数据价值没有发挥，导致企业对政策找不到、看不懂、不会用，导致领导决策没有足够的底气。</w:t>
      </w:r>
    </w:p>
    <w:p>
      <w:pPr>
        <w:pStyle w:val="6"/>
        <w:spacing w:line="348" w:lineRule="auto"/>
        <w:ind w:right="165"/>
        <w:rPr>
          <w:rFonts w:hint="eastAsia" w:ascii="宋体" w:hAnsi="宋体" w:eastAsia="宋体" w:cs="宋体"/>
          <w:lang w:val="en-US" w:eastAsia="zh-CN"/>
        </w:rPr>
      </w:pPr>
      <w:r>
        <w:rPr>
          <w:rFonts w:hint="eastAsia" w:ascii="宋体" w:hAnsi="宋体" w:eastAsia="宋体" w:cs="宋体"/>
          <w:lang w:val="en-US" w:eastAsia="zh-CN"/>
        </w:rPr>
        <w:t>　　首先让我们来看下政策数据在政务服务体系中的位置。《国务院办公厅关于聚焦企业关切进一步推动优化营商环境政策落实的通知》提出，要向企业精准推送各类优惠政策信息；《广东省“数字政府”总体建设规划（2018-2020年）实施方案》提出，支持各地建立本地区涉企政策“一站式”综合服务平台，实现政府政策库与适用企业相匹配。上海市的相关政策也提出，构建面向全所有制、全规模、全生命周期的普惠制企业精准服务体系。由此可见，政策服务在政务服务体系中愈加重要。</w:t>
      </w:r>
    </w:p>
    <w:p>
      <w:pPr>
        <w:pStyle w:val="6"/>
        <w:spacing w:line="348" w:lineRule="auto"/>
        <w:ind w:right="165"/>
        <w:rPr>
          <w:rFonts w:hint="eastAsia" w:ascii="宋体" w:hAnsi="宋体" w:eastAsia="宋体" w:cs="宋体"/>
          <w:lang w:val="en-US" w:eastAsia="zh-CN"/>
        </w:rPr>
      </w:pPr>
      <w:r>
        <w:rPr>
          <w:rFonts w:hint="eastAsia" w:ascii="宋体" w:hAnsi="宋体" w:eastAsia="宋体" w:cs="宋体"/>
          <w:lang w:val="en-US" w:eastAsia="zh-CN"/>
        </w:rPr>
        <w:t>　　那目前政府政策数据资产治理与应用的现状又是怎样的？主要面临四难，一是政策制定难，二是政策加工难，三是政策落地难，四是政策治理难。而大数据的发展与应用，也为我们进行政策数据治理提供的强有力支撑，数据在各领域得到广泛的发展与应用，政策数据治理与服务体系正面临解构与重构，随着营商环境的进一步优化，政策红利深度释放，一体化政策数据服务体系构建有着深刻的现实需求。</w:t>
      </w:r>
    </w:p>
    <w:p>
      <w:pPr>
        <w:pStyle w:val="6"/>
        <w:spacing w:line="348" w:lineRule="auto"/>
        <w:ind w:right="165"/>
        <w:rPr>
          <w:rFonts w:hint="eastAsia" w:ascii="宋体" w:hAnsi="宋体" w:eastAsia="宋体" w:cs="宋体"/>
          <w:lang w:val="en-US" w:eastAsia="zh-CN"/>
        </w:rPr>
      </w:pPr>
      <w:r>
        <w:rPr>
          <w:rFonts w:hint="eastAsia" w:ascii="宋体" w:hAnsi="宋体" w:eastAsia="宋体" w:cs="宋体"/>
          <w:lang w:val="en-US" w:eastAsia="zh-CN"/>
        </w:rPr>
        <w:t>　　三、政策数据资产与应用解决方案</w:t>
      </w:r>
    </w:p>
    <w:p>
      <w:pPr>
        <w:pStyle w:val="6"/>
        <w:spacing w:line="348" w:lineRule="auto"/>
        <w:ind w:right="165"/>
        <w:rPr>
          <w:rFonts w:hint="eastAsia" w:ascii="宋体" w:hAnsi="宋体" w:eastAsia="宋体" w:cs="宋体"/>
          <w:lang w:val="en-US" w:eastAsia="zh-CN"/>
        </w:rPr>
      </w:pPr>
      <w:r>
        <w:rPr>
          <w:rFonts w:hint="eastAsia" w:ascii="宋体" w:hAnsi="宋体" w:eastAsia="宋体" w:cs="宋体"/>
          <w:lang w:val="en-US" w:eastAsia="zh-CN"/>
        </w:rPr>
        <w:t>　　在这种情况下，我们提出政策数据的治理与应用解决方案，通过政策数据的治理，实现由人找政策到政策找人的转变，让政策实现千人千面和千企千面。</w:t>
      </w:r>
    </w:p>
    <w:p>
      <w:pPr>
        <w:pStyle w:val="6"/>
        <w:spacing w:line="348" w:lineRule="auto"/>
        <w:ind w:right="165"/>
        <w:rPr>
          <w:rFonts w:hint="eastAsia" w:ascii="宋体" w:hAnsi="宋体" w:eastAsia="宋体" w:cs="宋体"/>
          <w:lang w:val="en-US" w:eastAsia="zh-CN"/>
        </w:rPr>
      </w:pPr>
      <w:r>
        <w:rPr>
          <w:rFonts w:hint="eastAsia" w:ascii="宋体" w:hAnsi="宋体" w:eastAsia="宋体" w:cs="宋体"/>
          <w:lang w:val="en-US" w:eastAsia="zh-CN"/>
        </w:rPr>
        <w:t>　　四、国内最全面、权威、及时的政策数据库</w:t>
      </w:r>
    </w:p>
    <w:p>
      <w:pPr>
        <w:pStyle w:val="6"/>
        <w:spacing w:line="348" w:lineRule="auto"/>
        <w:ind w:right="165"/>
        <w:rPr>
          <w:rFonts w:hint="eastAsia" w:ascii="宋体" w:hAnsi="宋体" w:eastAsia="宋体" w:cs="宋体"/>
          <w:lang w:val="en-US" w:eastAsia="zh-CN"/>
        </w:rPr>
      </w:pPr>
      <w:r>
        <w:rPr>
          <w:rFonts w:hint="eastAsia" w:ascii="宋体" w:hAnsi="宋体" w:eastAsia="宋体" w:cs="宋体"/>
          <w:lang w:val="en-US" w:eastAsia="zh-CN"/>
        </w:rPr>
        <w:t>　　我们前面提到政策数据的治理与应用，针对目前政策数据治理的现状，我们上线了一款产品——国策数据，通过汇聚全国海量的政策数据，通过对每一条政策进行标准化解构和标签化处理、智能关联，用数据分析全景式展示每一条政策的生命轨迹，实现全量政策的检索与查找、精准推送等服务，为政企服务平台、行业平台等提供更强大的政策服务引擎支撑。</w:t>
      </w:r>
    </w:p>
    <w:p>
      <w:pPr>
        <w:pStyle w:val="6"/>
        <w:spacing w:line="348" w:lineRule="auto"/>
        <w:ind w:right="165"/>
        <w:rPr>
          <w:rFonts w:hint="eastAsia" w:ascii="宋体" w:hAnsi="宋体" w:eastAsia="宋体" w:cs="宋体"/>
          <w:lang w:val="en-US" w:eastAsia="zh-CN"/>
        </w:rPr>
      </w:pPr>
      <w:r>
        <w:rPr>
          <w:rFonts w:hint="eastAsia" w:ascii="宋体" w:hAnsi="宋体" w:eastAsia="宋体" w:cs="宋体"/>
          <w:lang w:val="en-US" w:eastAsia="zh-CN"/>
        </w:rPr>
        <w:t>　　五、国策核心特点</w:t>
      </w:r>
    </w:p>
    <w:p>
      <w:pPr>
        <w:pStyle w:val="6"/>
        <w:spacing w:line="348" w:lineRule="auto"/>
        <w:ind w:right="165"/>
        <w:rPr>
          <w:rFonts w:hint="eastAsia" w:ascii="宋体" w:hAnsi="宋体" w:eastAsia="宋体" w:cs="宋体"/>
          <w:lang w:val="en-US" w:eastAsia="zh-CN"/>
        </w:rPr>
      </w:pPr>
      <w:r>
        <w:rPr>
          <w:rFonts w:hint="eastAsia" w:ascii="宋体" w:hAnsi="宋体" w:eastAsia="宋体" w:cs="宋体"/>
          <w:lang w:val="en-US" w:eastAsia="zh-CN"/>
        </w:rPr>
        <w:t>　　一是政策汇聚：以“一纵一横”为主线，采集3W+个主要政府部门网站，将碎片化的政策资源一网打尽。</w:t>
      </w:r>
    </w:p>
    <w:p>
      <w:pPr>
        <w:pStyle w:val="6"/>
        <w:spacing w:line="348" w:lineRule="auto"/>
        <w:ind w:right="165"/>
        <w:rPr>
          <w:rFonts w:hint="eastAsia" w:ascii="宋体" w:hAnsi="宋体" w:eastAsia="宋体" w:cs="宋体"/>
          <w:lang w:val="en-US" w:eastAsia="zh-CN"/>
        </w:rPr>
      </w:pPr>
      <w:r>
        <w:rPr>
          <w:rFonts w:hint="eastAsia" w:ascii="宋体" w:hAnsi="宋体" w:eastAsia="宋体" w:cs="宋体"/>
          <w:lang w:val="en-US" w:eastAsia="zh-CN"/>
        </w:rPr>
        <w:t>　　二是多维解构：通过对政策进行最小颗粒度解构，解析每一条政策的发文形式、适用规模、适用行业、扶持方式、扶持金额等信息，建立政策集装箱，满足用户组合式应用需求。</w:t>
      </w:r>
    </w:p>
    <w:p>
      <w:pPr>
        <w:pStyle w:val="6"/>
        <w:spacing w:line="348" w:lineRule="auto"/>
        <w:ind w:right="165"/>
        <w:rPr>
          <w:rFonts w:hint="eastAsia" w:ascii="宋体" w:hAnsi="宋体" w:eastAsia="宋体" w:cs="宋体"/>
          <w:lang w:val="en-US" w:eastAsia="zh-CN"/>
        </w:rPr>
      </w:pPr>
      <w:r>
        <w:rPr>
          <w:rFonts w:hint="eastAsia" w:ascii="宋体" w:hAnsi="宋体" w:eastAsia="宋体" w:cs="宋体"/>
          <w:lang w:val="en-US" w:eastAsia="zh-CN"/>
        </w:rPr>
        <w:t>　　三是智能标注：构建算法模型、政策语料库及标签库，通过机器深度学习，进行政策深度加工，实现全自动化标注。</w:t>
      </w:r>
    </w:p>
    <w:p>
      <w:pPr>
        <w:pStyle w:val="6"/>
        <w:spacing w:line="348" w:lineRule="auto"/>
        <w:ind w:right="165"/>
        <w:rPr>
          <w:rFonts w:hint="eastAsia" w:ascii="宋体" w:hAnsi="宋体" w:eastAsia="宋体" w:cs="宋体"/>
          <w:lang w:val="en-US" w:eastAsia="zh-CN"/>
        </w:rPr>
      </w:pPr>
      <w:r>
        <w:rPr>
          <w:rFonts w:hint="eastAsia" w:ascii="宋体" w:hAnsi="宋体" w:eastAsia="宋体" w:cs="宋体"/>
          <w:lang w:val="en-US" w:eastAsia="zh-CN"/>
        </w:rPr>
        <w:t>　　四是深度关联：通过标签实现政策便捷关联、精准匹配，使政策数据“可联”，为政策检索、政策分析等提供基础支撑。</w:t>
      </w:r>
    </w:p>
    <w:p>
      <w:pPr>
        <w:pStyle w:val="6"/>
        <w:spacing w:line="348" w:lineRule="auto"/>
        <w:ind w:right="165"/>
        <w:rPr>
          <w:rFonts w:hint="eastAsia" w:ascii="宋体" w:hAnsi="宋体" w:eastAsia="宋体" w:cs="宋体"/>
          <w:lang w:val="en-US" w:eastAsia="zh-CN"/>
        </w:rPr>
      </w:pPr>
      <w:r>
        <w:rPr>
          <w:rFonts w:hint="eastAsia" w:ascii="宋体" w:hAnsi="宋体" w:eastAsia="宋体" w:cs="宋体"/>
          <w:lang w:val="en-US" w:eastAsia="zh-CN"/>
        </w:rPr>
        <w:t>　　六、场景应用展示</w:t>
      </w:r>
    </w:p>
    <w:p>
      <w:pPr>
        <w:pStyle w:val="6"/>
        <w:spacing w:line="348" w:lineRule="auto"/>
        <w:ind w:right="165"/>
        <w:rPr>
          <w:rFonts w:hint="eastAsia" w:ascii="宋体" w:hAnsi="宋体" w:eastAsia="宋体" w:cs="宋体"/>
          <w:lang w:val="en-US" w:eastAsia="zh-CN"/>
        </w:rPr>
      </w:pPr>
      <w:r>
        <w:rPr>
          <w:rFonts w:hint="eastAsia" w:ascii="宋体" w:hAnsi="宋体" w:eastAsia="宋体" w:cs="宋体"/>
          <w:lang w:val="en-US" w:eastAsia="zh-CN"/>
        </w:rPr>
        <w:t>　　一是精准服务企业，通过政策标签和用户画像，把精准的政策推送给精准的人，实现政策推送千企千面及千人千面。</w:t>
      </w:r>
    </w:p>
    <w:p>
      <w:pPr>
        <w:pStyle w:val="6"/>
        <w:spacing w:line="348" w:lineRule="auto"/>
        <w:ind w:right="165"/>
        <w:rPr>
          <w:rFonts w:hint="eastAsia" w:ascii="宋体" w:hAnsi="宋体" w:eastAsia="宋体" w:cs="宋体"/>
          <w:lang w:val="en-US" w:eastAsia="zh-CN"/>
        </w:rPr>
      </w:pPr>
      <w:r>
        <w:rPr>
          <w:rFonts w:hint="eastAsia" w:ascii="宋体" w:hAnsi="宋体" w:eastAsia="宋体" w:cs="宋体"/>
          <w:lang w:val="en-US" w:eastAsia="zh-CN"/>
        </w:rPr>
        <w:t>　　二是赋能公务员，国策通过嵌入OA中，构建政策精准服务模块，为公务员提供政策学习、查找、决策支撑，还可以个性化开发与OA配适的页面，根据需求开发收藏夹和个性化标签管理端口，实现每个人对政策的标注和管理。</w:t>
      </w:r>
    </w:p>
    <w:p>
      <w:pPr>
        <w:pStyle w:val="6"/>
        <w:spacing w:line="348" w:lineRule="auto"/>
        <w:ind w:right="165"/>
        <w:rPr>
          <w:rFonts w:hint="eastAsia" w:ascii="宋体" w:hAnsi="宋体" w:eastAsia="宋体" w:cs="宋体"/>
          <w:lang w:val="en-US" w:eastAsia="zh-CN"/>
        </w:rPr>
      </w:pPr>
      <w:r>
        <w:rPr>
          <w:rFonts w:hint="eastAsia" w:ascii="宋体" w:hAnsi="宋体" w:eastAsia="宋体" w:cs="宋体"/>
          <w:lang w:val="en-US" w:eastAsia="zh-CN"/>
        </w:rPr>
        <w:t>　　三是助力决策+，将已收录的政策数据进行归纳整理分类，通过图表、3D图、动态图等可视化呈现，用户结合自身需求，了解所在地区的政策制定情况、政策实施情况以及政策对地区经济的影响，为政策制定、落地、优化提供强有力的数据支撑。应用上面，一是领导桌面，通过对政策数据的应用分析为领导决策提供支撑；二是决策智慧，基于政策数据分析，输出政策发展指数报告、行业政策分析报告、政策汇编等；三是标杆比对，一键生成政策比对报告，了解不同区域之间相似政策的具体内容、发布情况、对区域经济影响情况、政策落地情况、企业申报情况。</w:t>
      </w:r>
    </w:p>
    <w:p>
      <w:pPr>
        <w:pStyle w:val="6"/>
        <w:spacing w:line="348" w:lineRule="auto"/>
        <w:ind w:right="165"/>
        <w:rPr>
          <w:rFonts w:hint="eastAsia" w:ascii="宋体" w:hAnsi="宋体" w:eastAsia="宋体" w:cs="宋体"/>
          <w:lang w:val="en-US" w:eastAsia="zh-CN"/>
        </w:rPr>
      </w:pPr>
      <w:r>
        <w:rPr>
          <w:rFonts w:hint="eastAsia" w:ascii="宋体" w:hAnsi="宋体" w:eastAsia="宋体" w:cs="宋体"/>
          <w:lang w:val="en-US" w:eastAsia="zh-CN"/>
        </w:rPr>
        <w:t>　　七、应用案例</w:t>
      </w:r>
    </w:p>
    <w:p>
      <w:pPr>
        <w:pStyle w:val="6"/>
        <w:spacing w:line="348" w:lineRule="auto"/>
        <w:ind w:right="165"/>
        <w:rPr>
          <w:rFonts w:hint="eastAsia" w:ascii="宋体" w:hAnsi="宋体" w:eastAsia="宋体" w:cs="宋体"/>
          <w:lang w:val="en-US" w:eastAsia="zh-CN"/>
        </w:rPr>
      </w:pPr>
      <w:r>
        <w:rPr>
          <w:rFonts w:hint="eastAsia" w:ascii="宋体" w:hAnsi="宋体" w:eastAsia="宋体" w:cs="宋体"/>
          <w:lang w:val="en-US" w:eastAsia="zh-CN"/>
        </w:rPr>
        <w:t>　　2019年5月21日，国策数据上线杭州移动职称应用板块。2019年7月22日，国策数据上线佛山超级OA系统中，为公务员全面赋能。</w:t>
      </w:r>
    </w:p>
    <w:p>
      <w:pPr>
        <w:pStyle w:val="6"/>
        <w:spacing w:line="348" w:lineRule="auto"/>
        <w:ind w:right="165"/>
        <w:rPr>
          <w:rFonts w:hint="eastAsia" w:ascii="宋体" w:hAnsi="宋体" w:eastAsia="宋体" w:cs="宋体"/>
          <w:lang w:val="en-US" w:eastAsia="zh-CN"/>
        </w:rPr>
      </w:pPr>
      <w:r>
        <w:rPr>
          <w:rFonts w:hint="eastAsia" w:ascii="宋体" w:hAnsi="宋体" w:eastAsia="宋体" w:cs="宋体"/>
          <w:lang w:val="en-US" w:eastAsia="zh-CN"/>
        </w:rPr>
        <w:t>　　八、总结</w:t>
      </w:r>
    </w:p>
    <w:p>
      <w:pPr>
        <w:pStyle w:val="6"/>
        <w:spacing w:line="348" w:lineRule="auto"/>
        <w:ind w:right="165" w:firstLine="560" w:firstLineChars="200"/>
        <w:rPr>
          <w:rFonts w:hint="eastAsia" w:ascii="宋体" w:hAnsi="宋体" w:eastAsia="宋体" w:cs="宋体"/>
          <w:lang w:val="en-US" w:eastAsia="zh-CN"/>
        </w:rPr>
      </w:pPr>
      <w:r>
        <w:rPr>
          <w:rFonts w:hint="eastAsia" w:ascii="宋体" w:hAnsi="宋体" w:eastAsia="宋体" w:cs="宋体"/>
          <w:lang w:val="en-US" w:eastAsia="zh-CN"/>
        </w:rPr>
        <w:t>新一轮优化营商环境大潮下，智慧营商时代来临，驱动管理型政府转变成服务型、平台型政府，以建设人民满意的服务型政府，政策数据治理与服务体系正面临解构与重构，国策为政府政策数据资产赋能提供强大支撑。聚力改变政策数据资源碎片化状态，全面释放政策数据资源的潜在红利，不断创新政策数据资源的服务能级，有效促进政策资源的集聚、管理与应用。</w:t>
      </w:r>
    </w:p>
    <w:p>
      <w:pPr>
        <w:pStyle w:val="6"/>
        <w:spacing w:line="348" w:lineRule="auto"/>
        <w:ind w:right="165"/>
        <w:rPr>
          <w:rFonts w:hint="eastAsia" w:ascii="宋体" w:hAnsi="宋体" w:eastAsia="宋体" w:cs="宋体"/>
          <w:lang w:val="en-US" w:eastAsia="zh-CN"/>
        </w:rPr>
      </w:pPr>
    </w:p>
    <w:p>
      <w:pPr>
        <w:pStyle w:val="6"/>
        <w:spacing w:line="348" w:lineRule="auto"/>
        <w:ind w:right="165" w:firstLine="560" w:firstLineChars="200"/>
        <w:rPr>
          <w:rFonts w:hint="eastAsia" w:ascii="宋体" w:hAnsi="宋体" w:eastAsia="宋体" w:cs="宋体"/>
          <w:lang w:val="en-US" w:eastAsia="zh-CN"/>
        </w:rPr>
      </w:pPr>
      <w:r>
        <w:rPr>
          <w:rFonts w:hint="eastAsia" w:ascii="宋体" w:hAnsi="宋体" w:eastAsia="宋体" w:cs="宋体"/>
          <w:lang w:val="en-US" w:eastAsia="zh-CN"/>
        </w:rPr>
        <w:t>本文系国脉政策数据研究所主任王丽娜女士于11月29日下午在“2019智慧中国年会”分论坛——“数据体系与数据资产研讨会”上的演讲，内容通过现场速记整理，未经本人审核。</w:t>
      </w:r>
    </w:p>
    <w:p>
      <w:pPr>
        <w:pStyle w:val="6"/>
        <w:spacing w:line="348" w:lineRule="auto"/>
        <w:ind w:right="165"/>
        <w:rPr>
          <w:rFonts w:hint="eastAsia" w:ascii="宋体" w:hAnsi="宋体" w:eastAsia="宋体" w:cs="宋体"/>
          <w:lang w:val="en-US" w:eastAsia="zh-CN"/>
        </w:rPr>
      </w:pPr>
    </w:p>
    <w:p>
      <w:pPr>
        <w:pStyle w:val="6"/>
        <w:spacing w:line="348" w:lineRule="auto"/>
        <w:ind w:right="165"/>
        <w:rPr>
          <w:rFonts w:hint="default" w:ascii="宋体" w:hAnsi="宋体" w:eastAsia="宋体" w:cs="宋体"/>
          <w:lang w:val="en-US" w:eastAsia="zh-CN"/>
        </w:rPr>
      </w:pPr>
      <w:r>
        <w:rPr>
          <w:rFonts w:hint="eastAsia" w:ascii="宋体" w:hAnsi="宋体" w:eastAsia="宋体" w:cs="宋体"/>
          <w:lang w:val="en-US" w:eastAsia="zh-CN"/>
        </w:rPr>
        <w:t>（来源于国脉电子政务网）</w:t>
      </w:r>
    </w:p>
    <w:p>
      <w:pPr>
        <w:pStyle w:val="6"/>
        <w:spacing w:line="348" w:lineRule="auto"/>
        <w:ind w:right="165"/>
        <w:rPr>
          <w:rFonts w:hint="eastAsia" w:ascii="宋体" w:hAnsi="宋体" w:eastAsia="宋体" w:cs="宋体"/>
          <w:lang w:val="en-US" w:eastAsia="zh-CN"/>
        </w:rPr>
      </w:pPr>
    </w:p>
    <w:p>
      <w:pPr>
        <w:pStyle w:val="6"/>
        <w:spacing w:line="348" w:lineRule="auto"/>
        <w:ind w:right="165"/>
        <w:jc w:val="center"/>
        <w:outlineLvl w:val="1"/>
        <w:rPr>
          <w:rFonts w:hint="eastAsia" w:ascii="宋体" w:hAnsi="宋体" w:eastAsia="宋体" w:cs="宋体"/>
          <w:lang w:val="en-US" w:eastAsia="zh-CN"/>
        </w:rPr>
      </w:pPr>
      <w:bookmarkStart w:id="9" w:name="_Toc21686"/>
      <w:bookmarkStart w:id="10" w:name="_Toc17688"/>
      <w:r>
        <w:rPr>
          <w:rFonts w:hint="eastAsia" w:ascii="宋体" w:hAnsi="宋体" w:eastAsia="宋体" w:cs="宋体"/>
          <w:b/>
          <w:bCs/>
          <w:lang w:val="en-US" w:eastAsia="zh-CN"/>
        </w:rPr>
        <w:t>实施制造强国战略亟需发展壮大自主仿真软件产业</w:t>
      </w:r>
      <w:bookmarkEnd w:id="9"/>
      <w:bookmarkEnd w:id="10"/>
    </w:p>
    <w:p>
      <w:pPr>
        <w:pStyle w:val="6"/>
        <w:spacing w:line="348" w:lineRule="auto"/>
        <w:ind w:right="165" w:firstLine="560" w:firstLineChars="200"/>
        <w:rPr>
          <w:rFonts w:hint="eastAsia" w:ascii="宋体" w:hAnsi="宋体" w:eastAsia="宋体" w:cs="宋体"/>
          <w:lang w:val="en-US" w:eastAsia="zh-CN"/>
        </w:rPr>
      </w:pPr>
      <w:r>
        <w:rPr>
          <w:rFonts w:hint="eastAsia" w:ascii="宋体" w:hAnsi="宋体" w:eastAsia="宋体" w:cs="宋体"/>
          <w:lang w:val="en-US" w:eastAsia="zh-CN"/>
        </w:rPr>
        <w:t>近期中国工程院对制造业中的26类产业开展了产业链安全性评估，结果显示部分产业发展存在严重短板。其中，飞机、汽车、核工业、电子信息制造、机械、模具等重点行业的仿真软件(CAE，Computer Aided Engineering)长期被美欧仿真厂商垄断，存在严重的“卡脖子”风险。随着中美贸易战愈演愈烈，风险越显突出。当前，我国自主仿真软件产业基础薄弱，处于发展初期，面临着研发资金与技术人才相对匮乏，用户认可和工程经验严重不足，盗版软件长期泛滥掣肘产业发展等诸多问题，亟需进一步加强统筹部署力度，维护市场运行秩序，完善创新体制机制、打造闭环商业生态、落地创新服务模式等综合举措，发展壮大我国仿真软件产业，逐步缩小与世界强国的差距。围绕于此，中国电子学会提出研究观点及对策建议如下。</w:t>
      </w:r>
    </w:p>
    <w:p>
      <w:pPr>
        <w:pStyle w:val="6"/>
        <w:spacing w:line="348" w:lineRule="auto"/>
        <w:ind w:right="165"/>
        <w:rPr>
          <w:rFonts w:hint="eastAsia" w:ascii="宋体" w:hAnsi="宋体" w:eastAsia="宋体" w:cs="宋体"/>
          <w:lang w:val="en-US" w:eastAsia="zh-CN"/>
        </w:rPr>
      </w:pPr>
      <w:r>
        <w:rPr>
          <w:rFonts w:hint="eastAsia" w:ascii="宋体" w:hAnsi="宋体" w:eastAsia="宋体" w:cs="宋体"/>
          <w:lang w:val="en-US" w:eastAsia="zh-CN"/>
        </w:rPr>
        <w:t>仿真软件产业发展态势</w:t>
      </w:r>
    </w:p>
    <w:p>
      <w:pPr>
        <w:pStyle w:val="6"/>
        <w:spacing w:line="348" w:lineRule="auto"/>
        <w:ind w:right="165"/>
        <w:rPr>
          <w:rFonts w:hint="eastAsia" w:ascii="宋体" w:hAnsi="宋体" w:eastAsia="宋体" w:cs="宋体"/>
          <w:lang w:val="en-US" w:eastAsia="zh-CN"/>
        </w:rPr>
      </w:pPr>
      <w:r>
        <w:rPr>
          <w:rFonts w:hint="eastAsia" w:ascii="宋体" w:hAnsi="宋体" w:eastAsia="宋体" w:cs="宋体"/>
          <w:lang w:val="en-US" w:eastAsia="zh-CN"/>
        </w:rPr>
        <w:t>　　一、全球制造强国将仿真技术 作为战略布局重点</w:t>
      </w:r>
    </w:p>
    <w:p>
      <w:pPr>
        <w:pStyle w:val="6"/>
        <w:spacing w:line="348" w:lineRule="auto"/>
        <w:ind w:right="165"/>
        <w:rPr>
          <w:rFonts w:hint="eastAsia" w:ascii="宋体" w:hAnsi="宋体" w:eastAsia="宋体" w:cs="宋体"/>
          <w:lang w:val="en-US" w:eastAsia="zh-CN"/>
        </w:rPr>
      </w:pPr>
      <w:r>
        <w:rPr>
          <w:rFonts w:hint="eastAsia" w:ascii="宋体" w:hAnsi="宋体" w:eastAsia="宋体" w:cs="宋体"/>
          <w:lang w:val="en-US" w:eastAsia="zh-CN"/>
        </w:rPr>
        <w:t>　　仿真技术正支撑并驱动着全球工业化的加速提升，已成为全球制造强国共同关注的重点。围绕仿真技术和软件的发展，各制造强国纷纷进行重点战略布局，例如美国白宫发布的《美国先进制造领导战略》中优先支持建模和仿真，以实现预测和改进产品性能和可靠性作为着力点。法国政府颁布《数字法国2020》将发展软件产业作为优先目标以促进研发和创新，通过系列举措推动数字模拟仿真工具的进一步加强。德国政府发布的《工业4.0》将数字孪生和工业软件发展作为重点任务。</w:t>
      </w:r>
    </w:p>
    <w:p>
      <w:pPr>
        <w:pStyle w:val="6"/>
        <w:spacing w:line="348" w:lineRule="auto"/>
        <w:ind w:right="165"/>
        <w:rPr>
          <w:rFonts w:hint="eastAsia" w:ascii="宋体" w:hAnsi="宋体" w:eastAsia="宋体" w:cs="宋体"/>
          <w:lang w:val="en-US" w:eastAsia="zh-CN"/>
        </w:rPr>
      </w:pPr>
      <w:r>
        <w:rPr>
          <w:rFonts w:hint="eastAsia" w:ascii="宋体" w:hAnsi="宋体" w:eastAsia="宋体" w:cs="宋体"/>
          <w:lang w:val="en-US" w:eastAsia="zh-CN"/>
        </w:rPr>
        <w:t>　　二、仿真巨头商业生态趋于 完善已形成强大壁垒</w:t>
      </w:r>
    </w:p>
    <w:p>
      <w:pPr>
        <w:pStyle w:val="6"/>
        <w:spacing w:line="348" w:lineRule="auto"/>
        <w:ind w:right="165"/>
        <w:rPr>
          <w:rFonts w:hint="eastAsia" w:ascii="宋体" w:hAnsi="宋体" w:eastAsia="宋体" w:cs="宋体"/>
          <w:lang w:val="en-US" w:eastAsia="zh-CN"/>
        </w:rPr>
      </w:pPr>
      <w:r>
        <w:rPr>
          <w:rFonts w:hint="eastAsia" w:ascii="宋体" w:hAnsi="宋体" w:eastAsia="宋体" w:cs="宋体"/>
          <w:lang w:val="en-US" w:eastAsia="zh-CN"/>
        </w:rPr>
        <w:t>　　随着CAE软件产业迅速崛起，美欧CAE厂商均重点关注商业生态的持续构建。通过持续性的研发投入、不断并购重组、产用结合协同开发、高校联合人才培养等综合举措，美欧CAE厂商逐步完成各自的商业生态布局，形成强大的技术和商业壁垒。目前已形成ANSYS(美国)、SIEMENS(德国)、DS Simula(法国)、Alair(美国)、MSC(原美国)和ESI(法国)六大CAE巨头垄断全球市场的格局。</w:t>
      </w:r>
    </w:p>
    <w:p>
      <w:pPr>
        <w:pStyle w:val="6"/>
        <w:spacing w:line="348" w:lineRule="auto"/>
        <w:ind w:right="165"/>
        <w:jc w:val="center"/>
        <w:rPr>
          <w:rFonts w:hint="eastAsia" w:ascii="宋体" w:hAnsi="宋体" w:eastAsia="宋体" w:cs="宋体"/>
          <w:lang w:val="en-US" w:eastAsia="zh-CN"/>
        </w:rPr>
      </w:pPr>
      <w:r>
        <w:rPr>
          <w:rFonts w:hint="eastAsia" w:ascii="宋体" w:hAnsi="宋体" w:eastAsia="宋体" w:cs="宋体"/>
          <w:lang w:val="en-US" w:eastAsia="zh-CN"/>
        </w:rPr>
        <w:drawing>
          <wp:inline distT="0" distB="0" distL="114300" distR="114300">
            <wp:extent cx="4286250" cy="2819400"/>
            <wp:effectExtent l="0" t="0" r="0" b="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6"/>
                    <a:stretch>
                      <a:fillRect/>
                    </a:stretch>
                  </pic:blipFill>
                  <pic:spPr>
                    <a:xfrm>
                      <a:off x="0" y="0"/>
                      <a:ext cx="4286250" cy="2819400"/>
                    </a:xfrm>
                    <a:prstGeom prst="rect">
                      <a:avLst/>
                    </a:prstGeom>
                    <a:noFill/>
                    <a:ln w="9525">
                      <a:noFill/>
                    </a:ln>
                  </pic:spPr>
                </pic:pic>
              </a:graphicData>
            </a:graphic>
          </wp:inline>
        </w:drawing>
      </w:r>
    </w:p>
    <w:p>
      <w:pPr>
        <w:pStyle w:val="6"/>
        <w:spacing w:line="348" w:lineRule="auto"/>
        <w:ind w:right="165"/>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中国电子学会整理</w:t>
      </w:r>
    </w:p>
    <w:p>
      <w:pPr>
        <w:pStyle w:val="6"/>
        <w:spacing w:line="348" w:lineRule="auto"/>
        <w:ind w:right="165"/>
        <w:rPr>
          <w:rFonts w:hint="eastAsia" w:ascii="宋体" w:hAnsi="宋体" w:eastAsia="宋体" w:cs="宋体"/>
          <w:lang w:val="en-US" w:eastAsia="zh-CN"/>
        </w:rPr>
      </w:pPr>
      <w:r>
        <w:rPr>
          <w:rFonts w:hint="eastAsia" w:ascii="宋体" w:hAnsi="宋体" w:eastAsia="宋体" w:cs="宋体"/>
          <w:lang w:val="en-US" w:eastAsia="zh-CN"/>
        </w:rPr>
        <w:t>　　</w:t>
      </w:r>
    </w:p>
    <w:p>
      <w:pPr>
        <w:pStyle w:val="6"/>
        <w:spacing w:line="348" w:lineRule="auto"/>
        <w:ind w:right="165"/>
        <w:rPr>
          <w:rFonts w:hint="eastAsia" w:ascii="宋体" w:hAnsi="宋体" w:eastAsia="宋体" w:cs="宋体"/>
          <w:lang w:val="en-US" w:eastAsia="zh-CN"/>
        </w:rPr>
      </w:pPr>
      <w:r>
        <w:rPr>
          <w:rFonts w:hint="eastAsia" w:ascii="宋体" w:hAnsi="宋体" w:eastAsia="宋体" w:cs="宋体"/>
          <w:lang w:val="en-US" w:eastAsia="zh-CN"/>
        </w:rPr>
        <w:t>三、我国仿真软件产业基础 薄弱仍处在发展初期</w:t>
      </w:r>
    </w:p>
    <w:p>
      <w:pPr>
        <w:pStyle w:val="6"/>
        <w:spacing w:line="348" w:lineRule="auto"/>
        <w:ind w:right="165"/>
        <w:rPr>
          <w:rFonts w:hint="eastAsia" w:ascii="宋体" w:hAnsi="宋体" w:eastAsia="宋体" w:cs="宋体"/>
          <w:lang w:val="en-US" w:eastAsia="zh-CN"/>
        </w:rPr>
      </w:pPr>
      <w:r>
        <w:rPr>
          <w:rFonts w:hint="eastAsia" w:ascii="宋体" w:hAnsi="宋体" w:eastAsia="宋体" w:cs="宋体"/>
          <w:lang w:val="en-US" w:eastAsia="zh-CN"/>
        </w:rPr>
        <w:t>　　随着我国制造强国战略的不断推进，仿真软件的重要性日益突出。我国自主CAE软件产业发展处境艰难，各厂商均处于研发成果向商业转化的探索阶段。参照美欧CAE巨头发展路径，我国自主CAE厂商发展进程相当于美欧CAE厂商在二十世纪九十年代发展水平。总体而言当前国产CAE软件产业发展态势整体处于初级阶段，尚无力支撑我国制造业高质量发展的迫切需求。</w:t>
      </w:r>
    </w:p>
    <w:p>
      <w:pPr>
        <w:pStyle w:val="6"/>
        <w:spacing w:line="348" w:lineRule="auto"/>
        <w:ind w:right="165"/>
        <w:rPr>
          <w:rFonts w:hint="eastAsia" w:ascii="宋体" w:hAnsi="宋体" w:eastAsia="宋体" w:cs="宋体"/>
          <w:lang w:val="en-US" w:eastAsia="zh-CN"/>
        </w:rPr>
      </w:pPr>
      <w:r>
        <w:rPr>
          <w:rFonts w:hint="eastAsia" w:ascii="宋体" w:hAnsi="宋体" w:eastAsia="宋体" w:cs="宋体"/>
          <w:lang w:val="en-US" w:eastAsia="zh-CN"/>
        </w:rPr>
        <w:t>我国自主CAE软件产业发展面临的问题</w:t>
      </w:r>
    </w:p>
    <w:p>
      <w:pPr>
        <w:pStyle w:val="6"/>
        <w:spacing w:line="348" w:lineRule="auto"/>
        <w:ind w:right="165"/>
        <w:rPr>
          <w:rFonts w:hint="eastAsia" w:ascii="宋体" w:hAnsi="宋体" w:eastAsia="宋体" w:cs="宋体"/>
          <w:lang w:val="en-US" w:eastAsia="zh-CN"/>
        </w:rPr>
      </w:pPr>
      <w:r>
        <w:rPr>
          <w:rFonts w:hint="eastAsia" w:ascii="宋体" w:hAnsi="宋体" w:eastAsia="宋体" w:cs="宋体"/>
          <w:lang w:val="en-US" w:eastAsia="zh-CN"/>
        </w:rPr>
        <w:t>　　一、研发资金与技术人才相对匮乏</w:t>
      </w:r>
    </w:p>
    <w:p>
      <w:pPr>
        <w:pStyle w:val="6"/>
        <w:spacing w:line="348" w:lineRule="auto"/>
        <w:ind w:right="165"/>
        <w:rPr>
          <w:rFonts w:hint="eastAsia" w:ascii="宋体" w:hAnsi="宋体" w:eastAsia="宋体" w:cs="宋体"/>
          <w:lang w:val="en-US" w:eastAsia="zh-CN"/>
        </w:rPr>
      </w:pPr>
      <w:r>
        <w:rPr>
          <w:rFonts w:hint="eastAsia" w:ascii="宋体" w:hAnsi="宋体" w:eastAsia="宋体" w:cs="宋体"/>
          <w:lang w:val="en-US" w:eastAsia="zh-CN"/>
        </w:rPr>
        <w:t>　　一是基础研发经费不足。CAE软件的基础研发工作量大周期长，需要对物理特性、算法实现、软件工程等进行综合研究，以及进行大量的物理对标实验，因此资金需求周期长且额度大。我国CAE厂商普遍规模较小，难以承担高额度持续性的研发投入。与此同时，我国高校和科研院所的相关科研经费以课题攻关为主，不足以支撑CAE软件基础研发的持续深入。二是高端技术人才稀缺且流失严重。CAE属于大型软件工程，研发工作对于物理学、化学、数学、软件工程等多学科融合能力要求极高，当前我国投入到CAE研发工作的跨学科顶尖技术专家数量稀缺。与此同时，国产CAE软件市场环境恶劣，企业很难在商业转化阶段获得应有收益，基础研发工作的投入产出失衡，导致高端技术人才流失严重。</w:t>
      </w:r>
    </w:p>
    <w:p>
      <w:pPr>
        <w:pStyle w:val="6"/>
        <w:spacing w:line="348" w:lineRule="auto"/>
        <w:ind w:right="165"/>
        <w:rPr>
          <w:rFonts w:hint="eastAsia" w:ascii="宋体" w:hAnsi="宋体" w:eastAsia="宋体" w:cs="宋体"/>
          <w:lang w:val="en-US" w:eastAsia="zh-CN"/>
        </w:rPr>
      </w:pPr>
      <w:r>
        <w:rPr>
          <w:rFonts w:hint="eastAsia" w:ascii="宋体" w:hAnsi="宋体" w:eastAsia="宋体" w:cs="宋体"/>
          <w:lang w:val="en-US" w:eastAsia="zh-CN"/>
        </w:rPr>
        <w:t>　　二、用户认可和工程经验严重不足</w:t>
      </w:r>
    </w:p>
    <w:p>
      <w:pPr>
        <w:pStyle w:val="6"/>
        <w:spacing w:line="348" w:lineRule="auto"/>
        <w:ind w:right="165"/>
        <w:rPr>
          <w:rFonts w:hint="eastAsia" w:ascii="宋体" w:hAnsi="宋体" w:eastAsia="宋体" w:cs="宋体"/>
          <w:lang w:val="en-US" w:eastAsia="zh-CN"/>
        </w:rPr>
      </w:pPr>
      <w:r>
        <w:rPr>
          <w:rFonts w:hint="eastAsia" w:ascii="宋体" w:hAnsi="宋体" w:eastAsia="宋体" w:cs="宋体"/>
          <w:lang w:val="en-US" w:eastAsia="zh-CN"/>
        </w:rPr>
        <w:t>　　目前在通用CAE软件领域，我国已形成了一定数量的软件厂商，在中低端领域有一定的用户数量，但普遍存在软件迭代滞后问题，其专业性、成熟度、适用度、计算精度、计算能力等与国外同品类软件相比差距较大，导致用户认可度较低。在专业CAE软件领域，国外CAE软件凭借技术成熟、产品线集成和复杂工程实施经验等优势能力，几乎垄断我国高端制造领域市场。除个别国家项目定点采购外，国产CAE软件很难通过竞争参与高端制造领域的仿真工程应用，导致国产CAE厂商的工程经验严重不足。</w:t>
      </w:r>
    </w:p>
    <w:p>
      <w:pPr>
        <w:pStyle w:val="6"/>
        <w:spacing w:line="348" w:lineRule="auto"/>
        <w:ind w:right="165"/>
        <w:rPr>
          <w:rFonts w:hint="eastAsia" w:ascii="宋体" w:hAnsi="宋体" w:eastAsia="宋体" w:cs="宋体"/>
          <w:lang w:val="en-US" w:eastAsia="zh-CN"/>
        </w:rPr>
      </w:pPr>
      <w:r>
        <w:rPr>
          <w:rFonts w:hint="eastAsia" w:ascii="宋体" w:hAnsi="宋体" w:eastAsia="宋体" w:cs="宋体"/>
          <w:lang w:val="en-US" w:eastAsia="zh-CN"/>
        </w:rPr>
        <w:t>　　三、盗版软件长期泛滥掣肘产业发展</w:t>
      </w:r>
    </w:p>
    <w:p>
      <w:pPr>
        <w:pStyle w:val="6"/>
        <w:spacing w:line="348" w:lineRule="auto"/>
        <w:ind w:right="165"/>
        <w:rPr>
          <w:rFonts w:hint="eastAsia" w:ascii="宋体" w:hAnsi="宋体" w:eastAsia="宋体" w:cs="宋体"/>
          <w:lang w:val="en-US" w:eastAsia="zh-CN"/>
        </w:rPr>
      </w:pPr>
      <w:r>
        <w:rPr>
          <w:rFonts w:hint="eastAsia" w:ascii="宋体" w:hAnsi="宋体" w:eastAsia="宋体" w:cs="宋体"/>
          <w:lang w:val="en-US" w:eastAsia="zh-CN"/>
        </w:rPr>
        <w:t>　　在巨大利益驱动下盗版CAE软件不断推出，大量用户版权意识淡薄，导致盗版泛滥。与此同时，国外仿真软件厂商出于培养用户使用习惯的目的，放任我国用户使用其盗版软件。盗版软件横行使我国CAE厂商生存环境进一步恶化，中低端用户大量流失，市场空间受到挤压，企业无法获得正常的市场营收，难以维系团队建设、深入开发和市场开拓所需的资金链，不利于我国自主CAE软件产业的良性可持续发展。</w:t>
      </w:r>
    </w:p>
    <w:p>
      <w:pPr>
        <w:pStyle w:val="6"/>
        <w:spacing w:line="348" w:lineRule="auto"/>
        <w:ind w:right="165"/>
        <w:rPr>
          <w:rFonts w:hint="eastAsia" w:ascii="宋体" w:hAnsi="宋体" w:eastAsia="宋体" w:cs="宋体"/>
          <w:lang w:val="en-US" w:eastAsia="zh-CN"/>
        </w:rPr>
      </w:pPr>
      <w:r>
        <w:rPr>
          <w:rFonts w:hint="eastAsia" w:ascii="宋体" w:hAnsi="宋体" w:eastAsia="宋体" w:cs="宋体"/>
          <w:lang w:val="en-US" w:eastAsia="zh-CN"/>
        </w:rPr>
        <w:t>加快自主CAE软件产业发展的措施建议</w:t>
      </w:r>
    </w:p>
    <w:p>
      <w:pPr>
        <w:pStyle w:val="6"/>
        <w:spacing w:line="348" w:lineRule="auto"/>
        <w:ind w:right="165"/>
        <w:rPr>
          <w:rFonts w:hint="eastAsia" w:ascii="宋体" w:hAnsi="宋体" w:eastAsia="宋体" w:cs="宋体"/>
          <w:lang w:val="en-US" w:eastAsia="zh-CN"/>
        </w:rPr>
      </w:pPr>
      <w:r>
        <w:rPr>
          <w:rFonts w:hint="eastAsia" w:ascii="宋体" w:hAnsi="宋体" w:eastAsia="宋体" w:cs="宋体"/>
          <w:lang w:val="en-US" w:eastAsia="zh-CN"/>
        </w:rPr>
        <w:t>　　一、进一步加强统筹部署力度</w:t>
      </w:r>
    </w:p>
    <w:p>
      <w:pPr>
        <w:pStyle w:val="6"/>
        <w:spacing w:line="348" w:lineRule="auto"/>
        <w:ind w:right="165"/>
        <w:rPr>
          <w:rFonts w:hint="eastAsia" w:ascii="宋体" w:hAnsi="宋体" w:eastAsia="宋体" w:cs="宋体"/>
          <w:lang w:val="en-US" w:eastAsia="zh-CN"/>
        </w:rPr>
      </w:pPr>
      <w:r>
        <w:rPr>
          <w:rFonts w:hint="eastAsia" w:ascii="宋体" w:hAnsi="宋体" w:eastAsia="宋体" w:cs="宋体"/>
          <w:lang w:val="en-US" w:eastAsia="zh-CN"/>
        </w:rPr>
        <w:t>　　统筹部署CAE软件产业发展重大相关工作，引导政府、科研、教育、生产、用户、金融各方通力协作。一是引导民间资本进入，助推自主CAE软件的商业转化进程;二是引导和资助大型国有企业与自主CAE厂商合作围绕基础共性技术和关键工程技术开展仿真软件基础研发;三是倡导大型国有企业在可用前提下，优先使用自主CAE软件;四是鼓励产、学、研、用各方联合成立仿真重点实验室，培养仿真软件基础研发人才和中高端仿真应用技术人才。</w:t>
      </w:r>
    </w:p>
    <w:p>
      <w:pPr>
        <w:pStyle w:val="6"/>
        <w:spacing w:line="348" w:lineRule="auto"/>
        <w:ind w:right="165"/>
        <w:rPr>
          <w:rFonts w:hint="eastAsia" w:ascii="宋体" w:hAnsi="宋体" w:eastAsia="宋体" w:cs="宋体"/>
          <w:lang w:val="en-US" w:eastAsia="zh-CN"/>
        </w:rPr>
      </w:pPr>
      <w:r>
        <w:rPr>
          <w:rFonts w:hint="eastAsia" w:ascii="宋体" w:hAnsi="宋体" w:eastAsia="宋体" w:cs="宋体"/>
          <w:lang w:val="en-US" w:eastAsia="zh-CN"/>
        </w:rPr>
        <w:t>　　二、进一步维护市场运行秩序</w:t>
      </w:r>
    </w:p>
    <w:p>
      <w:pPr>
        <w:pStyle w:val="6"/>
        <w:spacing w:line="348" w:lineRule="auto"/>
        <w:ind w:right="165"/>
        <w:rPr>
          <w:rFonts w:hint="eastAsia" w:ascii="宋体" w:hAnsi="宋体" w:eastAsia="宋体" w:cs="宋体"/>
          <w:lang w:val="en-US" w:eastAsia="zh-CN"/>
        </w:rPr>
      </w:pPr>
      <w:r>
        <w:rPr>
          <w:rFonts w:hint="eastAsia" w:ascii="宋体" w:hAnsi="宋体" w:eastAsia="宋体" w:cs="宋体"/>
          <w:lang w:val="en-US" w:eastAsia="zh-CN"/>
        </w:rPr>
        <w:t>　　一是有关部门采取有效措施掌握市场动态，一经发现盗版，马上明令禁止，采取专项治理，打击盗版软件制造者和散播平台，从根本上打击和遏制盗版的发行。二是大力整顿软件产业知识产权乱象，政府牵头，企业、高等院校、科研机构、知识产权管理机构和服务机构多方公共参与，建立健全企业保护自律机制，在自主CAE软件细分领域开展先试先行。</w:t>
      </w:r>
    </w:p>
    <w:p>
      <w:pPr>
        <w:pStyle w:val="6"/>
        <w:spacing w:line="348" w:lineRule="auto"/>
        <w:ind w:right="165"/>
        <w:rPr>
          <w:rFonts w:hint="eastAsia" w:ascii="宋体" w:hAnsi="宋体" w:eastAsia="宋体" w:cs="宋体"/>
          <w:lang w:val="en-US" w:eastAsia="zh-CN"/>
        </w:rPr>
      </w:pPr>
      <w:r>
        <w:rPr>
          <w:rFonts w:hint="eastAsia" w:ascii="宋体" w:hAnsi="宋体" w:eastAsia="宋体" w:cs="宋体"/>
          <w:lang w:val="en-US" w:eastAsia="zh-CN"/>
        </w:rPr>
        <w:t>　　三、进一步完善创新体制机制</w:t>
      </w:r>
    </w:p>
    <w:p>
      <w:pPr>
        <w:pStyle w:val="6"/>
        <w:spacing w:line="348" w:lineRule="auto"/>
        <w:ind w:right="165"/>
        <w:rPr>
          <w:rFonts w:hint="eastAsia" w:ascii="宋体" w:hAnsi="宋体" w:eastAsia="宋体" w:cs="宋体"/>
          <w:lang w:val="en-US" w:eastAsia="zh-CN"/>
        </w:rPr>
      </w:pPr>
      <w:r>
        <w:rPr>
          <w:rFonts w:hint="eastAsia" w:ascii="宋体" w:hAnsi="宋体" w:eastAsia="宋体" w:cs="宋体"/>
          <w:lang w:val="en-US" w:eastAsia="zh-CN"/>
        </w:rPr>
        <w:t>　　引导国内CAE软件厂商、大型制造业企业和研究机构通过企业并购和股权融资等方式组成创新联合体，针对“卡脖子”问题突出领域的专业仿真软件进行联合开发，以企业工程应用为牵引，促进各方创新能力、工业知识、工程经验和用户反馈的资源共享与优势互补，推动产用协同发展，加快国产CAE软件的基础研发与优化迭代进程。</w:t>
      </w:r>
    </w:p>
    <w:p>
      <w:pPr>
        <w:pStyle w:val="6"/>
        <w:spacing w:line="348" w:lineRule="auto"/>
        <w:ind w:right="165"/>
        <w:rPr>
          <w:rFonts w:hint="eastAsia" w:ascii="宋体" w:hAnsi="宋体" w:eastAsia="宋体" w:cs="宋体"/>
          <w:lang w:val="en-US" w:eastAsia="zh-CN"/>
        </w:rPr>
      </w:pPr>
      <w:r>
        <w:rPr>
          <w:rFonts w:hint="eastAsia" w:ascii="宋体" w:hAnsi="宋体" w:eastAsia="宋体" w:cs="宋体"/>
          <w:lang w:val="en-US" w:eastAsia="zh-CN"/>
        </w:rPr>
        <w:t>　　四、进一步打造闭环商业生态</w:t>
      </w:r>
    </w:p>
    <w:p>
      <w:pPr>
        <w:pStyle w:val="6"/>
        <w:spacing w:line="348" w:lineRule="auto"/>
        <w:ind w:right="165"/>
        <w:rPr>
          <w:rFonts w:hint="eastAsia" w:ascii="宋体" w:hAnsi="宋体" w:eastAsia="宋体" w:cs="宋体"/>
          <w:lang w:val="en-US" w:eastAsia="zh-CN"/>
        </w:rPr>
      </w:pPr>
      <w:r>
        <w:rPr>
          <w:rFonts w:hint="eastAsia" w:ascii="宋体" w:hAnsi="宋体" w:eastAsia="宋体" w:cs="宋体"/>
          <w:lang w:val="en-US" w:eastAsia="zh-CN"/>
        </w:rPr>
        <w:t>　　引导自主工业软件厂商合力构建闭环商业生态，形成CAD、CAE、CAM直至生产现场装备控制优化的工业软件价值闭环。促进CAE软件厂商与其上下游工业软件以及生产装备厂商的深度合作，将工程仿真计算优化结果转化为具有商业价值的生产装备控制与优化“工艺包”，通过构建仿真计算与工业生产装备控制融合的工业软件闭环商业生态，拓展自主工业软件厂商的市场空间实现共赢发展。</w:t>
      </w:r>
    </w:p>
    <w:p>
      <w:pPr>
        <w:pStyle w:val="6"/>
        <w:spacing w:line="348" w:lineRule="auto"/>
        <w:ind w:right="165"/>
        <w:rPr>
          <w:rFonts w:hint="eastAsia" w:ascii="宋体" w:hAnsi="宋体" w:eastAsia="宋体" w:cs="宋体"/>
          <w:lang w:val="en-US" w:eastAsia="zh-CN"/>
        </w:rPr>
      </w:pPr>
      <w:r>
        <w:rPr>
          <w:rFonts w:hint="eastAsia" w:ascii="宋体" w:hAnsi="宋体" w:eastAsia="宋体" w:cs="宋体"/>
          <w:lang w:val="en-US" w:eastAsia="zh-CN"/>
        </w:rPr>
        <w:t>　　五、进一步落地创新服务模式</w:t>
      </w:r>
    </w:p>
    <w:p>
      <w:pPr>
        <w:pStyle w:val="6"/>
        <w:spacing w:line="348" w:lineRule="auto"/>
        <w:ind w:right="165"/>
        <w:rPr>
          <w:rFonts w:hint="eastAsia" w:ascii="宋体" w:hAnsi="宋体" w:eastAsia="宋体" w:cs="宋体"/>
          <w:lang w:val="en-US" w:eastAsia="zh-CN"/>
        </w:rPr>
      </w:pPr>
      <w:r>
        <w:rPr>
          <w:rFonts w:hint="eastAsia" w:ascii="宋体" w:hAnsi="宋体" w:eastAsia="宋体" w:cs="宋体"/>
          <w:lang w:val="en-US" w:eastAsia="zh-CN"/>
        </w:rPr>
        <w:t>　　引导工业互联网平台与CAE厂商合作，加快打造云端仿真开发环境，构建开发者社区，引入低代码开发技术，吸引专业技术服务商和第三方开发者基于云端工业PaaS仿真平台进行工业APP研发。引导CAE软件厂商充分利用工业互联网平台，将仿真软件能力转化为平台 PaaS核心能力及SaaS应用服务，通过订阅模式来降低自身服务成本和用户应用成本，吸引中小企业用户使用仿真计算服务，构建基于工业互联网平台的新型商业路径。</w:t>
      </w:r>
    </w:p>
    <w:p>
      <w:pPr>
        <w:pStyle w:val="6"/>
        <w:spacing w:line="348" w:lineRule="auto"/>
        <w:ind w:right="165"/>
        <w:rPr>
          <w:rFonts w:hint="eastAsia" w:ascii="宋体" w:hAnsi="宋体" w:eastAsia="宋体" w:cs="宋体"/>
          <w:lang w:val="en-US" w:eastAsia="zh-CN"/>
        </w:rPr>
      </w:pPr>
      <w:r>
        <w:rPr>
          <w:rFonts w:hint="eastAsia" w:ascii="宋体" w:hAnsi="宋体" w:eastAsia="宋体" w:cs="宋体"/>
          <w:lang w:val="en-US" w:eastAsia="zh-CN"/>
        </w:rPr>
        <w:t>（来源：CIE智库）</w:t>
      </w:r>
    </w:p>
    <w:p>
      <w:pPr>
        <w:pStyle w:val="6"/>
        <w:spacing w:line="348" w:lineRule="auto"/>
        <w:ind w:right="165"/>
        <w:rPr>
          <w:rFonts w:hint="eastAsia" w:ascii="宋体" w:hAnsi="宋体" w:eastAsia="宋体" w:cs="宋体"/>
          <w:lang w:val="en-US" w:eastAsia="zh-CN"/>
        </w:rPr>
      </w:pPr>
    </w:p>
    <w:p>
      <w:pPr>
        <w:pStyle w:val="6"/>
        <w:spacing w:line="348" w:lineRule="auto"/>
        <w:ind w:right="165"/>
        <w:rPr>
          <w:rFonts w:hint="eastAsia" w:ascii="宋体" w:hAnsi="宋体" w:eastAsia="宋体" w:cs="宋体"/>
          <w:lang w:val="en-US" w:eastAsia="zh-CN"/>
        </w:rPr>
      </w:pPr>
    </w:p>
    <w:p>
      <w:pPr>
        <w:pStyle w:val="6"/>
        <w:spacing w:line="348" w:lineRule="auto"/>
        <w:ind w:right="165"/>
        <w:rPr>
          <w:rFonts w:hint="eastAsia" w:ascii="宋体" w:hAnsi="宋体" w:eastAsia="宋体" w:cs="宋体"/>
          <w:lang w:val="en-US" w:eastAsia="zh-CN"/>
        </w:rPr>
      </w:pPr>
    </w:p>
    <w:p>
      <w:pPr>
        <w:pStyle w:val="6"/>
        <w:spacing w:line="348" w:lineRule="auto"/>
        <w:ind w:right="165"/>
        <w:rPr>
          <w:rFonts w:hint="eastAsia" w:ascii="宋体" w:hAnsi="宋体" w:eastAsia="宋体" w:cs="宋体"/>
          <w:lang w:val="en-US" w:eastAsia="zh-CN"/>
        </w:rPr>
      </w:pPr>
    </w:p>
    <w:p>
      <w:pPr>
        <w:pStyle w:val="6"/>
        <w:spacing w:line="348" w:lineRule="auto"/>
        <w:ind w:right="165"/>
        <w:rPr>
          <w:rFonts w:hint="eastAsia" w:ascii="宋体" w:hAnsi="宋体" w:eastAsia="宋体" w:cs="宋体"/>
          <w:lang w:val="en-US" w:eastAsia="zh-CN"/>
        </w:rPr>
      </w:pPr>
    </w:p>
    <w:p>
      <w:pPr>
        <w:pStyle w:val="6"/>
        <w:spacing w:line="348" w:lineRule="auto"/>
        <w:ind w:right="165"/>
        <w:rPr>
          <w:rFonts w:hint="eastAsia" w:ascii="宋体" w:hAnsi="宋体" w:eastAsia="宋体" w:cs="宋体"/>
          <w:lang w:val="en-US" w:eastAsia="zh-CN"/>
        </w:rPr>
      </w:pPr>
      <w:bookmarkStart w:id="11" w:name="_Toc30595"/>
      <w:bookmarkStart w:id="12" w:name="_Toc24538"/>
      <w:bookmarkStart w:id="13" w:name="_Toc21332"/>
      <w:bookmarkStart w:id="14" w:name="_Toc28745"/>
    </w:p>
    <w:p>
      <w:pPr>
        <w:pStyle w:val="6"/>
        <w:spacing w:line="348" w:lineRule="auto"/>
        <w:ind w:right="165"/>
        <w:rPr>
          <w:rFonts w:hint="eastAsia" w:ascii="宋体" w:hAnsi="宋体" w:eastAsia="宋体" w:cs="宋体"/>
          <w:lang w:val="en-US" w:eastAsia="zh-CN"/>
        </w:rPr>
      </w:pPr>
    </w:p>
    <w:p>
      <w:pPr>
        <w:outlineLvl w:val="0"/>
        <w:rPr>
          <w:rFonts w:hint="eastAsia" w:asciiTheme="minorHAnsi" w:eastAsiaTheme="minorEastAsia"/>
          <w:b/>
          <w:bCs/>
          <w:color w:val="auto"/>
          <w:sz w:val="32"/>
          <w:szCs w:val="32"/>
          <w:lang w:val="en-US" w:eastAsia="zh-CN"/>
        </w:rPr>
      </w:pPr>
      <w:bookmarkStart w:id="15" w:name="_Toc32543"/>
      <w:bookmarkStart w:id="16" w:name="_Toc28704"/>
    </w:p>
    <w:p>
      <w:pPr>
        <w:outlineLvl w:val="0"/>
        <w:rPr>
          <w:rFonts w:hint="eastAsia" w:asciiTheme="minorHAnsi" w:eastAsiaTheme="minorEastAsia"/>
          <w:b/>
          <w:bCs/>
          <w:color w:val="auto"/>
          <w:sz w:val="32"/>
          <w:szCs w:val="32"/>
          <w:lang w:val="en-US" w:eastAsia="zh-CN"/>
        </w:rPr>
      </w:pPr>
    </w:p>
    <w:p>
      <w:pPr>
        <w:outlineLvl w:val="0"/>
        <w:rPr>
          <w:rFonts w:hint="eastAsia" w:asciiTheme="minorHAnsi" w:eastAsiaTheme="minorEastAsia"/>
          <w:b/>
          <w:bCs/>
          <w:color w:val="auto"/>
          <w:sz w:val="32"/>
          <w:szCs w:val="32"/>
          <w:lang w:val="en-US" w:eastAsia="zh-CN"/>
        </w:rPr>
      </w:pPr>
    </w:p>
    <w:p>
      <w:pPr>
        <w:outlineLvl w:val="0"/>
        <w:rPr>
          <w:rFonts w:hint="eastAsia" w:asciiTheme="minorHAnsi" w:eastAsiaTheme="minorEastAsia"/>
          <w:b/>
          <w:bCs/>
          <w:color w:val="auto"/>
          <w:sz w:val="32"/>
          <w:szCs w:val="32"/>
          <w:lang w:val="en-US" w:eastAsia="zh-CN"/>
        </w:rPr>
      </w:pPr>
    </w:p>
    <w:p>
      <w:pPr>
        <w:outlineLvl w:val="0"/>
        <w:rPr>
          <w:rFonts w:hint="eastAsia" w:asciiTheme="minorHAnsi" w:eastAsiaTheme="minorEastAsia"/>
          <w:b/>
          <w:bCs/>
          <w:color w:val="auto"/>
          <w:sz w:val="32"/>
          <w:szCs w:val="32"/>
          <w:lang w:val="en-US" w:eastAsia="zh-CN"/>
        </w:rPr>
      </w:pPr>
    </w:p>
    <w:p>
      <w:pPr>
        <w:outlineLvl w:val="0"/>
        <w:rPr>
          <w:rFonts w:hint="eastAsia" w:asciiTheme="minorHAnsi" w:eastAsiaTheme="minorEastAsia"/>
          <w:b/>
          <w:bCs/>
          <w:color w:val="auto"/>
          <w:sz w:val="32"/>
          <w:szCs w:val="32"/>
          <w:lang w:val="en-US" w:eastAsia="zh-CN"/>
        </w:rPr>
      </w:pPr>
      <w:r>
        <w:rPr>
          <w:rFonts w:hint="eastAsia" w:asciiTheme="minorHAnsi" w:eastAsiaTheme="minorEastAsia"/>
          <w:b/>
          <w:bCs/>
          <w:color w:val="auto"/>
          <w:sz w:val="32"/>
          <w:szCs w:val="32"/>
          <w:lang w:val="en-US" w:eastAsia="zh-CN"/>
        </w:rPr>
        <w:t>【政策选集】</w:t>
      </w:r>
      <w:bookmarkEnd w:id="11"/>
      <w:bookmarkEnd w:id="12"/>
      <w:bookmarkEnd w:id="13"/>
      <w:bookmarkEnd w:id="14"/>
      <w:bookmarkEnd w:id="15"/>
      <w:bookmarkEnd w:id="16"/>
    </w:p>
    <w:p>
      <w:pPr>
        <w:pStyle w:val="6"/>
        <w:spacing w:line="348" w:lineRule="auto"/>
        <w:ind w:right="165"/>
        <w:jc w:val="center"/>
        <w:outlineLvl w:val="1"/>
        <w:rPr>
          <w:rFonts w:hint="eastAsia" w:ascii="宋体" w:hAnsi="宋体" w:eastAsia="宋体" w:cs="宋体"/>
          <w:b/>
          <w:bCs/>
          <w:lang w:val="en-US" w:eastAsia="zh-CN"/>
        </w:rPr>
      </w:pPr>
      <w:bookmarkStart w:id="17" w:name="_Toc18653"/>
      <w:bookmarkStart w:id="18" w:name="_Toc25021"/>
      <w:r>
        <w:rPr>
          <w:rFonts w:hint="eastAsia" w:ascii="宋体" w:hAnsi="宋体" w:eastAsia="宋体" w:cs="宋体"/>
          <w:b/>
          <w:bCs/>
          <w:lang w:val="en-US" w:eastAsia="zh-CN"/>
        </w:rPr>
        <w:t>四部委联合发布《App违法违规收集使用个人信息行为认定方法》</w:t>
      </w:r>
      <w:bookmarkEnd w:id="17"/>
      <w:bookmarkEnd w:id="18"/>
    </w:p>
    <w:p>
      <w:pPr>
        <w:pStyle w:val="6"/>
        <w:spacing w:line="348" w:lineRule="auto"/>
        <w:ind w:right="165"/>
        <w:rPr>
          <w:rFonts w:hint="eastAsia" w:ascii="宋体" w:hAnsi="宋体" w:eastAsia="宋体" w:cs="宋体"/>
          <w:lang w:val="en-US" w:eastAsia="zh-CN"/>
        </w:rPr>
      </w:pPr>
    </w:p>
    <w:p>
      <w:pPr>
        <w:pStyle w:val="6"/>
        <w:spacing w:line="348" w:lineRule="auto"/>
        <w:ind w:right="165" w:firstLine="560" w:firstLineChars="200"/>
        <w:rPr>
          <w:rFonts w:hint="eastAsia" w:ascii="宋体" w:hAnsi="宋体" w:eastAsia="宋体" w:cs="宋体"/>
          <w:lang w:val="en-US" w:eastAsia="zh-CN"/>
        </w:rPr>
      </w:pPr>
      <w:r>
        <w:rPr>
          <w:rFonts w:hint="eastAsia" w:ascii="宋体" w:hAnsi="宋体" w:eastAsia="宋体" w:cs="宋体"/>
          <w:lang w:val="en-US" w:eastAsia="zh-CN"/>
        </w:rPr>
        <w:t>据国家互联网信息办公室官网12月30日消息，11月28日，国家互联网信息办公室秘书局、工业和信息化部办公厅、公安部办公厅、市场监管总局办公厅联合发布关于印发《App违法违规收集使用个人信息行为认定方法》的通知。 </w:t>
      </w:r>
      <w:r>
        <w:rPr>
          <w:rFonts w:hint="eastAsia" w:ascii="宋体" w:hAnsi="宋体" w:eastAsia="宋体" w:cs="宋体"/>
          <w:lang w:val="en-US" w:eastAsia="zh-CN"/>
        </w:rPr>
        <w:br w:type="textWrapping"/>
      </w:r>
      <w:r>
        <w:rPr>
          <w:rFonts w:hint="eastAsia" w:ascii="宋体" w:hAnsi="宋体" w:eastAsia="宋体" w:cs="宋体"/>
          <w:lang w:val="en-US" w:eastAsia="zh-CN"/>
        </w:rPr>
        <w:t xml:space="preserve">   通知指出，根据《关于开展App违法违规收集使用个人信息专项治理的公告》，为认定App违法违规收集使用个人信息行为提供参考，落实《网络安全法》等法律法规，国家互联网信息办公室、工业和信息化部、公安部、市场监管总局联合制定了《App违法违规收集使用个人信息行为认定方法》。 </w:t>
      </w:r>
      <w:r>
        <w:rPr>
          <w:rFonts w:hint="eastAsia" w:ascii="宋体" w:hAnsi="宋体" w:eastAsia="宋体" w:cs="宋体"/>
          <w:lang w:val="en-US" w:eastAsia="zh-CN"/>
        </w:rPr>
        <w:br w:type="textWrapping"/>
      </w:r>
      <w:r>
        <w:rPr>
          <w:rFonts w:hint="eastAsia" w:ascii="宋体" w:hAnsi="宋体" w:eastAsia="宋体" w:cs="宋体"/>
          <w:lang w:val="en-US" w:eastAsia="zh-CN"/>
        </w:rPr>
        <w:t xml:space="preserve">   《认定方法》共分为6大项认定准则，包含31种场景。其中，在App中没有隐私政策或隐私政策中没有收集使用个人信息规则；在App首次运行时未通过明显方式提示用户收集使用规则；隐私政策等收集使用规则难以访问，如进入App主界面后，需多于4次点击等操作才能访问到；隐私政策等收集使用规则难以阅读，如文字过小过密、颜色过淡、模糊不清，或未提供简体中文版等，将被认定为“未公开收集使用规则”。 </w:t>
      </w:r>
      <w:r>
        <w:rPr>
          <w:rFonts w:hint="eastAsia" w:ascii="宋体" w:hAnsi="宋体" w:eastAsia="宋体" w:cs="宋体"/>
          <w:lang w:val="en-US" w:eastAsia="zh-CN"/>
        </w:rPr>
        <w:br w:type="textWrapping"/>
      </w:r>
      <w:r>
        <w:rPr>
          <w:rFonts w:hint="eastAsia" w:ascii="宋体" w:hAnsi="宋体" w:eastAsia="宋体" w:cs="宋体"/>
          <w:lang w:val="en-US" w:eastAsia="zh-CN"/>
        </w:rPr>
        <w:t xml:space="preserve">   值得注意的是，《认定方法》中明确提出9种场景属于“未经用户同意收集使用个人信息”，分别别包括：1.征得用户同意前就开始收集个人信息或打开可收集个人信息的权限；2.用户明确表示不同意后，仍收集个人信息或打开可收集个人信息的权限，或频繁征求用户同意、干扰用户正常使用；3.实际收集的个人信息或打开的可收集个人信息权限超出用户授权范围；4.以默认选择同意隐私政策等非明示方式征求用户同意；5.未经用户同意更改其设置的可收集个人信息权限状态，如App更新时自动将用户设置的权限恢复到默认状态；6.利用用户个人信息和算法定向推送信息，未提供非定向推送信息的选项；7.以欺诈、诱骗等不正当方式误导用户同意收集个人信息或打开可收集个人信息的权限，如故意欺瞒、掩饰收集使用个人信息的真实目的；8.未向用户提供撤回同意收集个人信息的途径、方式；9.违反其所声明的收集使用规则，收集使用个人信息。 </w:t>
      </w:r>
      <w:r>
        <w:rPr>
          <w:rFonts w:hint="eastAsia" w:ascii="宋体" w:hAnsi="宋体" w:eastAsia="宋体" w:cs="宋体"/>
          <w:lang w:val="en-US" w:eastAsia="zh-CN"/>
        </w:rPr>
        <w:br w:type="textWrapping"/>
      </w:r>
      <w:r>
        <w:rPr>
          <w:rFonts w:hint="eastAsia" w:ascii="宋体" w:hAnsi="宋体" w:eastAsia="宋体" w:cs="宋体"/>
          <w:lang w:val="en-US" w:eastAsia="zh-CN"/>
        </w:rPr>
        <w:t xml:space="preserve">   此外，在“未经同意向他人提供个人信息”的认定方面，《认定方法》中提到，App接入第三方应用，未经用户同意，向第三方应用提供个人信息；既未经用户同意，也未做匿名化处理，数据传输至App后台服务器后，向第三方提供其收集的个人信息等情况出现，将被认定为“未经同意向他人提供个人信息”。 </w:t>
      </w:r>
    </w:p>
    <w:p>
      <w:pPr>
        <w:pStyle w:val="6"/>
        <w:spacing w:line="348" w:lineRule="auto"/>
        <w:ind w:right="165"/>
        <w:rPr>
          <w:rFonts w:hint="eastAsia" w:ascii="宋体" w:hAnsi="宋体" w:eastAsia="宋体" w:cs="宋体"/>
          <w:lang w:val="en-US" w:eastAsia="zh-CN"/>
        </w:rPr>
      </w:pPr>
    </w:p>
    <w:p>
      <w:pPr>
        <w:pStyle w:val="6"/>
        <w:spacing w:line="348" w:lineRule="auto"/>
        <w:ind w:right="165"/>
        <w:rPr>
          <w:rFonts w:hint="eastAsia" w:ascii="宋体" w:hAnsi="宋体" w:eastAsia="宋体" w:cs="宋体"/>
          <w:lang w:val="en-US" w:eastAsia="zh-CN"/>
        </w:rPr>
      </w:pPr>
    </w:p>
    <w:p>
      <w:pPr>
        <w:pStyle w:val="6"/>
        <w:spacing w:line="348" w:lineRule="auto"/>
        <w:ind w:right="165"/>
        <w:rPr>
          <w:rFonts w:hint="eastAsia" w:ascii="宋体" w:hAnsi="宋体" w:eastAsia="宋体" w:cs="宋体"/>
          <w:lang w:val="en-US" w:eastAsia="zh-CN"/>
        </w:rPr>
      </w:pPr>
    </w:p>
    <w:p>
      <w:pPr>
        <w:pStyle w:val="6"/>
        <w:spacing w:line="348" w:lineRule="auto"/>
        <w:ind w:right="165"/>
        <w:rPr>
          <w:rFonts w:hint="eastAsia" w:ascii="宋体" w:hAnsi="宋体" w:eastAsia="宋体" w:cs="宋体"/>
          <w:lang w:val="en-US" w:eastAsia="zh-CN"/>
        </w:rPr>
      </w:pPr>
    </w:p>
    <w:p>
      <w:pPr>
        <w:pStyle w:val="6"/>
        <w:spacing w:line="348" w:lineRule="auto"/>
        <w:ind w:right="165"/>
        <w:rPr>
          <w:rFonts w:hint="eastAsia" w:ascii="宋体" w:hAnsi="宋体" w:eastAsia="宋体" w:cs="宋体"/>
          <w:lang w:val="en-US" w:eastAsia="zh-CN"/>
        </w:rPr>
      </w:pPr>
    </w:p>
    <w:p>
      <w:pPr>
        <w:pStyle w:val="6"/>
        <w:spacing w:line="348" w:lineRule="auto"/>
        <w:ind w:right="165"/>
        <w:rPr>
          <w:rFonts w:hint="eastAsia" w:ascii="宋体" w:hAnsi="宋体" w:eastAsia="宋体" w:cs="宋体"/>
          <w:lang w:val="en-US" w:eastAsia="zh-CN"/>
        </w:rPr>
      </w:pPr>
    </w:p>
    <w:p>
      <w:pPr>
        <w:outlineLvl w:val="0"/>
        <w:rPr>
          <w:rFonts w:hint="eastAsia" w:asciiTheme="minorHAnsi" w:eastAsiaTheme="minorEastAsia"/>
          <w:b/>
          <w:bCs/>
          <w:color w:val="auto"/>
          <w:sz w:val="32"/>
          <w:szCs w:val="32"/>
          <w:lang w:val="en-US" w:eastAsia="zh-CN"/>
        </w:rPr>
      </w:pPr>
      <w:bookmarkStart w:id="19" w:name="_Toc2451"/>
      <w:bookmarkStart w:id="20" w:name="_Toc250"/>
      <w:bookmarkStart w:id="21" w:name="_Toc6584"/>
      <w:bookmarkStart w:id="22" w:name="_Toc16167"/>
      <w:bookmarkStart w:id="23" w:name="_Toc8427"/>
      <w:bookmarkStart w:id="24" w:name="_Toc2032"/>
      <w:r>
        <w:rPr>
          <w:rFonts w:hint="eastAsia" w:asciiTheme="minorHAnsi" w:eastAsiaTheme="minorEastAsia"/>
          <w:b/>
          <w:bCs/>
          <w:color w:val="auto"/>
          <w:sz w:val="32"/>
          <w:szCs w:val="32"/>
          <w:lang w:val="en-US" w:eastAsia="zh-CN"/>
        </w:rPr>
        <w:t>【</w:t>
      </w:r>
      <w:r>
        <w:rPr>
          <w:rFonts w:hint="eastAsia"/>
          <w:b/>
          <w:bCs/>
          <w:color w:val="auto"/>
          <w:sz w:val="32"/>
          <w:szCs w:val="32"/>
          <w:lang w:val="en-US" w:eastAsia="zh-CN"/>
        </w:rPr>
        <w:t>峰会精选</w:t>
      </w:r>
      <w:r>
        <w:rPr>
          <w:rFonts w:hint="eastAsia" w:asciiTheme="minorHAnsi" w:eastAsiaTheme="minorEastAsia"/>
          <w:b/>
          <w:bCs/>
          <w:color w:val="auto"/>
          <w:sz w:val="32"/>
          <w:szCs w:val="32"/>
          <w:lang w:val="en-US" w:eastAsia="zh-CN"/>
        </w:rPr>
        <w:t>】</w:t>
      </w:r>
      <w:bookmarkEnd w:id="19"/>
      <w:bookmarkEnd w:id="20"/>
      <w:bookmarkEnd w:id="21"/>
      <w:bookmarkEnd w:id="22"/>
      <w:bookmarkEnd w:id="23"/>
      <w:bookmarkEnd w:id="24"/>
    </w:p>
    <w:p>
      <w:pPr>
        <w:jc w:val="center"/>
        <w:outlineLvl w:val="1"/>
        <w:rPr>
          <w:rFonts w:hint="eastAsia" w:asciiTheme="minorHAnsi" w:eastAsiaTheme="minorEastAsia"/>
          <w:b/>
          <w:bCs/>
          <w:color w:val="auto"/>
          <w:sz w:val="32"/>
          <w:szCs w:val="32"/>
          <w:lang w:val="en-US" w:eastAsia="zh-CN"/>
        </w:rPr>
      </w:pPr>
      <w:bookmarkStart w:id="25" w:name="_Toc23679"/>
      <w:bookmarkStart w:id="26" w:name="_Toc5736"/>
      <w:r>
        <w:rPr>
          <w:rFonts w:hint="eastAsia" w:asciiTheme="minorHAnsi" w:eastAsiaTheme="minorEastAsia"/>
          <w:b/>
          <w:bCs/>
          <w:color w:val="auto"/>
          <w:sz w:val="32"/>
          <w:szCs w:val="32"/>
          <w:lang w:val="en-US" w:eastAsia="zh-CN"/>
        </w:rPr>
        <w:t>数字福建分论坛——数字福建新时代 新动能 新发展</w:t>
      </w:r>
      <w:bookmarkEnd w:id="25"/>
      <w:bookmarkEnd w:id="26"/>
    </w:p>
    <w:p>
      <w:pPr>
        <w:rPr>
          <w:rFonts w:hint="eastAsia" w:asciiTheme="minorHAnsi" w:eastAsiaTheme="minorEastAsia"/>
          <w:b/>
          <w:bCs/>
          <w:color w:val="auto"/>
          <w:sz w:val="32"/>
          <w:szCs w:val="32"/>
          <w:lang w:val="en-US" w:eastAsia="zh-CN"/>
        </w:rPr>
      </w:pPr>
      <w:r>
        <w:rPr>
          <w:rFonts w:hint="eastAsia" w:asciiTheme="minorHAnsi" w:eastAsiaTheme="minorEastAsia"/>
          <w:b/>
          <w:bCs/>
          <w:color w:val="auto"/>
          <w:sz w:val="32"/>
          <w:szCs w:val="32"/>
          <w:lang w:val="en-US" w:eastAsia="zh-CN"/>
        </w:rPr>
        <w:drawing>
          <wp:anchor distT="0" distB="0" distL="114300" distR="114300" simplePos="0" relativeHeight="251663360" behindDoc="0" locked="0" layoutInCell="1" allowOverlap="1">
            <wp:simplePos x="0" y="0"/>
            <wp:positionH relativeFrom="margin">
              <wp:posOffset>273050</wp:posOffset>
            </wp:positionH>
            <wp:positionV relativeFrom="paragraph">
              <wp:posOffset>158115</wp:posOffset>
            </wp:positionV>
            <wp:extent cx="5735320" cy="3514725"/>
            <wp:effectExtent l="0" t="0" r="17780" b="9525"/>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7" cstate="print">
                      <a:extLst>
                        <a:ext uri="{28A0092B-C50C-407E-A947-70E740481C1C}">
                          <a14:useLocalDpi xmlns:a14="http://schemas.microsoft.com/office/drawing/2010/main" val="0"/>
                        </a:ext>
                      </a:extLst>
                    </a:blip>
                    <a:srcRect t="18290"/>
                    <a:stretch>
                      <a:fillRect/>
                    </a:stretch>
                  </pic:blipFill>
                  <pic:spPr>
                    <a:xfrm>
                      <a:off x="0" y="0"/>
                      <a:ext cx="5735104" cy="3514725"/>
                    </a:xfrm>
                    <a:prstGeom prst="rect">
                      <a:avLst/>
                    </a:prstGeom>
                    <a:noFill/>
                    <a:ln>
                      <a:noFill/>
                    </a:ln>
                  </pic:spPr>
                </pic:pic>
              </a:graphicData>
            </a:graphic>
          </wp:anchor>
        </w:drawing>
      </w:r>
    </w:p>
    <w:p>
      <w:pPr>
        <w:rPr>
          <w:rFonts w:hint="eastAsia" w:asciiTheme="minorHAnsi" w:eastAsiaTheme="minorEastAsia"/>
          <w:b/>
          <w:bCs/>
          <w:color w:val="auto"/>
          <w:sz w:val="32"/>
          <w:szCs w:val="32"/>
          <w:lang w:val="en-US" w:eastAsia="zh-CN"/>
        </w:rPr>
      </w:pPr>
    </w:p>
    <w:p>
      <w:pPr>
        <w:rPr>
          <w:rFonts w:hint="eastAsia" w:asciiTheme="minorHAnsi" w:eastAsiaTheme="minorEastAsia"/>
          <w:b/>
          <w:bCs/>
          <w:color w:val="auto"/>
          <w:sz w:val="32"/>
          <w:szCs w:val="32"/>
          <w:lang w:val="en-US" w:eastAsia="zh-CN"/>
        </w:rPr>
      </w:pPr>
    </w:p>
    <w:p>
      <w:pPr>
        <w:rPr>
          <w:rFonts w:hint="eastAsia" w:asciiTheme="minorHAnsi" w:eastAsiaTheme="minorEastAsia"/>
          <w:b/>
          <w:bCs/>
          <w:color w:val="auto"/>
          <w:sz w:val="32"/>
          <w:szCs w:val="32"/>
          <w:lang w:val="en-US" w:eastAsia="zh-CN"/>
        </w:rPr>
      </w:pPr>
    </w:p>
    <w:p>
      <w:pPr>
        <w:rPr>
          <w:rFonts w:hint="eastAsia" w:asciiTheme="minorHAnsi" w:eastAsiaTheme="minorEastAsia"/>
          <w:b/>
          <w:bCs/>
          <w:color w:val="auto"/>
          <w:sz w:val="32"/>
          <w:szCs w:val="32"/>
          <w:lang w:val="en-US" w:eastAsia="zh-CN"/>
        </w:rPr>
      </w:pPr>
    </w:p>
    <w:p>
      <w:pPr>
        <w:rPr>
          <w:rFonts w:hint="eastAsia" w:asciiTheme="minorHAnsi" w:eastAsiaTheme="minorEastAsia"/>
          <w:b/>
          <w:bCs/>
          <w:color w:val="auto"/>
          <w:sz w:val="32"/>
          <w:szCs w:val="32"/>
          <w:lang w:val="en-US" w:eastAsia="zh-CN"/>
        </w:rPr>
      </w:pPr>
    </w:p>
    <w:p>
      <w:pPr>
        <w:rPr>
          <w:rFonts w:hint="eastAsia" w:asciiTheme="minorHAnsi" w:eastAsiaTheme="minorEastAsia"/>
          <w:b/>
          <w:bCs/>
          <w:color w:val="auto"/>
          <w:sz w:val="32"/>
          <w:szCs w:val="32"/>
          <w:lang w:val="en-US" w:eastAsia="zh-CN"/>
        </w:rPr>
      </w:pPr>
    </w:p>
    <w:p>
      <w:pPr>
        <w:rPr>
          <w:rFonts w:hint="eastAsia" w:asciiTheme="minorHAnsi" w:eastAsiaTheme="minorEastAsia"/>
          <w:b/>
          <w:bCs/>
          <w:color w:val="auto"/>
          <w:sz w:val="32"/>
          <w:szCs w:val="32"/>
          <w:lang w:val="en-US" w:eastAsia="zh-CN"/>
        </w:rPr>
      </w:pPr>
    </w:p>
    <w:p>
      <w:pPr>
        <w:pStyle w:val="6"/>
        <w:spacing w:line="348" w:lineRule="auto"/>
        <w:ind w:right="165"/>
        <w:rPr>
          <w:rFonts w:hint="eastAsia" w:ascii="宋体" w:hAnsi="宋体" w:eastAsia="宋体" w:cs="宋体"/>
          <w:lang w:val="en-US" w:eastAsia="zh-CN"/>
        </w:rPr>
      </w:pPr>
    </w:p>
    <w:p>
      <w:pPr>
        <w:pStyle w:val="6"/>
        <w:spacing w:line="348" w:lineRule="auto"/>
        <w:ind w:right="165"/>
        <w:rPr>
          <w:rFonts w:hint="eastAsia" w:ascii="宋体" w:hAnsi="宋体" w:eastAsia="宋体" w:cs="宋体"/>
          <w:lang w:val="en-US" w:eastAsia="zh-CN"/>
        </w:rPr>
      </w:pPr>
    </w:p>
    <w:p>
      <w:pPr>
        <w:pStyle w:val="6"/>
        <w:spacing w:line="348" w:lineRule="auto"/>
        <w:ind w:right="165" w:firstLine="560" w:firstLineChars="200"/>
        <w:rPr>
          <w:rFonts w:hint="eastAsia" w:ascii="宋体" w:hAnsi="宋体" w:eastAsia="宋体" w:cs="宋体"/>
          <w:lang w:val="en-US" w:eastAsia="zh-CN"/>
        </w:rPr>
      </w:pPr>
      <w:r>
        <w:rPr>
          <w:rFonts w:hint="eastAsia" w:ascii="宋体" w:hAnsi="宋体" w:eastAsia="宋体" w:cs="宋体"/>
          <w:lang w:val="en-US" w:eastAsia="zh-CN"/>
        </w:rPr>
        <w:t>“数字福建”是习近平总书记在福建工作时亲自擘画的宏伟蓝图，是数字中国的思想源头和实践起点。19年来，福建省咬住青山不放松，一张蓝图干到底，数字福建在电子政务、数字经济、智慧社会等领域取得了长足进展。福建省信息化建设历年不断推陈出新。</w:t>
      </w:r>
    </w:p>
    <w:p>
      <w:pPr>
        <w:pStyle w:val="6"/>
        <w:spacing w:line="348" w:lineRule="auto"/>
        <w:ind w:right="165" w:firstLine="560" w:firstLineChars="200"/>
        <w:rPr>
          <w:rFonts w:hint="eastAsia" w:ascii="宋体" w:hAnsi="宋体" w:eastAsia="宋体" w:cs="宋体"/>
          <w:lang w:val="en-US" w:eastAsia="zh-CN"/>
        </w:rPr>
      </w:pPr>
      <w:r>
        <w:rPr>
          <w:rFonts w:hint="eastAsia" w:ascii="宋体" w:hAnsi="宋体" w:eastAsia="宋体" w:cs="宋体"/>
          <w:lang w:val="en-US" w:eastAsia="zh-CN"/>
        </w:rPr>
        <w:t>加快新时代数字福建建设，是深入学习贯彻习总书记关于网络强国重要思想的具体行动，是抓住用好我国发展的重要战略机遇期的必然要求，是坚持高质量发展落实赶超、建设新时代新福建的强大动力。举办数字福建分论坛，不断总结省域信息化建设成功经验做法，能够有力推动数字福建建设和数字经济发展，同时为全国数字区域建设提供借鉴，为数字中国建设提供样本和示范。</w:t>
      </w:r>
    </w:p>
    <w:p>
      <w:pPr>
        <w:pStyle w:val="6"/>
        <w:spacing w:line="348" w:lineRule="auto"/>
        <w:ind w:right="165" w:firstLine="560" w:firstLineChars="200"/>
        <w:rPr>
          <w:rFonts w:hint="eastAsia" w:ascii="宋体" w:hAnsi="宋体" w:eastAsia="宋体" w:cs="宋体"/>
          <w:lang w:val="en-US" w:eastAsia="zh-CN"/>
        </w:rPr>
      </w:pPr>
      <w:r>
        <w:rPr>
          <w:rFonts w:hint="eastAsia" w:ascii="宋体" w:hAnsi="宋体" w:eastAsia="宋体" w:cs="宋体"/>
          <w:lang w:val="en-US" w:eastAsia="zh-CN"/>
        </w:rPr>
        <w:t>5月7日下午，第二届数字中国建设峰会期间，由福建省人民政府主办，福建省数字福建领导小组办公室、数字中国研究院（福建）、数字福建专家委员会、福州市人民政府共同承办的“数字福建分论坛”在福建福州市海峡国际会展中心召开。将近500位政界、商界、学术界代表参会。</w:t>
      </w:r>
    </w:p>
    <w:p>
      <w:pPr>
        <w:pStyle w:val="6"/>
        <w:spacing w:line="348" w:lineRule="auto"/>
        <w:ind w:right="165" w:firstLine="560" w:firstLineChars="200"/>
        <w:rPr>
          <w:rFonts w:hint="eastAsia" w:ascii="宋体" w:hAnsi="宋体" w:eastAsia="宋体" w:cs="宋体"/>
          <w:lang w:val="en-US" w:eastAsia="zh-CN"/>
        </w:rPr>
      </w:pPr>
      <w:r>
        <w:rPr>
          <w:rFonts w:hint="eastAsia" w:ascii="宋体" w:hAnsi="宋体" w:eastAsia="宋体" w:cs="宋体"/>
          <w:lang w:val="en-US" w:eastAsia="zh-CN"/>
        </w:rPr>
        <w:t>本届论坛主题是“数字福建新时代 新动能 新发展”。论坛意义在于广泛地凝聚社会各界共识，更好地总结数字福建在电子政务、数字经济、智慧社会等领域所开展的实践活动经验，从而在更高起点上推动新时代数字福建建设，开创数字福建新局面。</w:t>
      </w:r>
    </w:p>
    <w:p>
      <w:pPr>
        <w:pStyle w:val="6"/>
        <w:spacing w:line="348" w:lineRule="auto"/>
        <w:ind w:right="165" w:firstLine="560" w:firstLineChars="200"/>
        <w:rPr>
          <w:rFonts w:hint="eastAsia" w:ascii="宋体" w:hAnsi="宋体" w:eastAsia="宋体" w:cs="宋体"/>
          <w:lang w:val="en-US" w:eastAsia="zh-CN"/>
        </w:rPr>
      </w:pPr>
      <w:r>
        <w:rPr>
          <w:rFonts w:hint="eastAsia" w:ascii="宋体" w:hAnsi="宋体" w:eastAsia="宋体" w:cs="宋体"/>
          <w:lang w:val="en-US" w:eastAsia="zh-CN"/>
        </w:rPr>
        <w:t>出席论坛的重要嘉宾有：十二届全国政协副主席王钦敏，科技部原部长徐冠华，福建省委常委、常务副省长张志南，数字中国研究院（福建）执行院长何昌垂，厦门大学校长张荣，中国科学院院士童庆禧、吴一戎、林惠民等和挪威科学院院士容淳铭。</w:t>
      </w:r>
    </w:p>
    <w:p>
      <w:pPr>
        <w:pStyle w:val="6"/>
        <w:spacing w:line="348" w:lineRule="auto"/>
        <w:ind w:right="165" w:firstLine="560" w:firstLineChars="200"/>
        <w:rPr>
          <w:rFonts w:hint="eastAsia" w:ascii="宋体" w:hAnsi="宋体" w:eastAsia="宋体" w:cs="宋体"/>
          <w:lang w:val="en-US" w:eastAsia="zh-CN"/>
        </w:rPr>
      </w:pPr>
      <w:r>
        <w:rPr>
          <w:rFonts w:hint="eastAsia" w:ascii="宋体" w:hAnsi="宋体" w:eastAsia="宋体" w:cs="宋体"/>
          <w:lang w:val="en-US" w:eastAsia="zh-CN"/>
        </w:rPr>
        <w:t>论坛由主旨演讲、主题报告、高峰对话、发布活动等环节组成，紧扣热点、形式多样、内容丰富。论坛专门邀请了十二届全国政协王钦敏副主席作《“数字福建”信息应用服务基础设施建设》的主旨演讲。主题报告环节分为数字政府版块和数字行业版块，围绕数字江淮、数字福州、数字经济、平台经济、数字福建核心能力建设和5G、人工智能、大数据等新一代信息技术应用等内容开展交流。高峰对话环节，徐冠华、吴一戎、林惠民等院士，科大讯飞、中兴通讯公司代表围绕加快打造数据强国、网络强国和建设新时代数字中国、数字福建开展对话。</w:t>
      </w:r>
    </w:p>
    <w:p>
      <w:pPr>
        <w:pStyle w:val="6"/>
        <w:spacing w:line="348" w:lineRule="auto"/>
        <w:ind w:right="165" w:firstLine="560" w:firstLineChars="200"/>
        <w:rPr>
          <w:rFonts w:hint="eastAsia" w:ascii="宋体" w:hAnsi="宋体" w:eastAsia="宋体" w:cs="宋体"/>
          <w:lang w:val="en-US" w:eastAsia="zh-CN"/>
        </w:rPr>
      </w:pPr>
      <w:r>
        <w:rPr>
          <w:rFonts w:hint="eastAsia" w:ascii="宋体" w:hAnsi="宋体" w:eastAsia="宋体" w:cs="宋体"/>
          <w:lang w:val="en-US" w:eastAsia="zh-CN"/>
        </w:rPr>
        <w:t>在论坛上，福建省商务厅、福建省数字办、数字福建研究院（福建）分别发布了《中国（福建）国际贸易单一窗口建设实践白皮书》、人工智能“双百应用场景”、数字福建十佳实践成果。</w:t>
      </w:r>
    </w:p>
    <w:p>
      <w:pPr>
        <w:pStyle w:val="6"/>
        <w:spacing w:line="348" w:lineRule="auto"/>
        <w:ind w:right="165" w:firstLine="560" w:firstLineChars="200"/>
        <w:rPr>
          <w:rFonts w:hint="eastAsia" w:ascii="宋体" w:hAnsi="宋体" w:eastAsia="宋体" w:cs="宋体"/>
          <w:lang w:val="en-US" w:eastAsia="zh-CN"/>
        </w:rPr>
      </w:pPr>
      <w:r>
        <w:rPr>
          <w:rFonts w:hint="eastAsia" w:ascii="宋体" w:hAnsi="宋体" w:eastAsia="宋体" w:cs="宋体"/>
          <w:lang w:val="en-US" w:eastAsia="zh-CN"/>
        </w:rPr>
        <w:t>第二届峰会数字福建分论坛是一次高层次、高质量的会议，是一场思想火花激烈碰撞的精彩论坛。各位嘉宾为新时代数字福建建设建言献策，为数字中国贡献新的才智和力量。</w:t>
      </w:r>
    </w:p>
    <w:p>
      <w:pPr>
        <w:pStyle w:val="6"/>
        <w:spacing w:line="348" w:lineRule="auto"/>
        <w:ind w:right="165" w:firstLine="560" w:firstLineChars="200"/>
        <w:rPr>
          <w:rFonts w:hint="eastAsia" w:ascii="宋体" w:hAnsi="宋体" w:eastAsia="宋体" w:cs="宋体"/>
          <w:lang w:val="en-US" w:eastAsia="zh-CN"/>
        </w:rPr>
      </w:pPr>
      <w:r>
        <w:rPr>
          <w:rFonts w:hint="eastAsia" w:ascii="宋体" w:hAnsi="宋体" w:eastAsia="宋体" w:cs="宋体"/>
          <w:lang w:val="en-US" w:eastAsia="zh-CN"/>
        </w:rPr>
        <w:t>本次论坛将对数字福建事业产生积极影响。</w:t>
      </w:r>
    </w:p>
    <w:p>
      <w:pPr>
        <w:jc w:val="center"/>
        <w:rPr>
          <w:rFonts w:hint="eastAsia" w:asciiTheme="minorHAnsi" w:eastAsiaTheme="minorEastAsia"/>
          <w:b w:val="0"/>
          <w:bCs w:val="0"/>
          <w:color w:val="auto"/>
          <w:sz w:val="28"/>
          <w:szCs w:val="28"/>
          <w:lang w:val="en-US" w:eastAsia="zh-CN"/>
        </w:rPr>
      </w:pPr>
      <w:r>
        <w:rPr>
          <w:rFonts w:hint="eastAsia" w:asciiTheme="minorHAnsi" w:eastAsiaTheme="minorEastAsia"/>
          <w:b w:val="0"/>
          <w:bCs w:val="0"/>
          <w:color w:val="auto"/>
          <w:sz w:val="28"/>
          <w:szCs w:val="28"/>
          <w:lang w:val="en-US" w:eastAsia="zh-CN"/>
        </w:rPr>
        <w:t>数字福建分论坛议程</w:t>
      </w:r>
    </w:p>
    <w:p>
      <w:pPr>
        <w:jc w:val="center"/>
        <w:rPr>
          <w:rFonts w:hint="eastAsia" w:asciiTheme="minorHAnsi" w:eastAsiaTheme="minorEastAsia"/>
          <w:b w:val="0"/>
          <w:bCs w:val="0"/>
          <w:color w:val="auto"/>
          <w:sz w:val="28"/>
          <w:szCs w:val="28"/>
          <w:lang w:val="en-US" w:eastAsia="zh-CN"/>
        </w:rPr>
      </w:pPr>
      <w:r>
        <w:rPr>
          <w:rFonts w:hint="eastAsia" w:asciiTheme="minorHAnsi" w:eastAsiaTheme="minorEastAsia"/>
          <w:b w:val="0"/>
          <w:bCs w:val="0"/>
          <w:color w:val="auto"/>
          <w:sz w:val="28"/>
          <w:szCs w:val="28"/>
          <w:lang w:val="en-US" w:eastAsia="zh-CN"/>
        </w:rPr>
        <w:t>议题：（一）开幕式及主旨演讲</w:t>
      </w:r>
    </w:p>
    <w:p>
      <w:pPr>
        <w:jc w:val="center"/>
        <w:rPr>
          <w:rFonts w:hint="eastAsia" w:asciiTheme="minorHAnsi" w:eastAsiaTheme="minorEastAsia"/>
          <w:b w:val="0"/>
          <w:bCs w:val="0"/>
          <w:color w:val="auto"/>
          <w:sz w:val="28"/>
          <w:szCs w:val="28"/>
          <w:lang w:val="en-US" w:eastAsia="zh-CN"/>
        </w:rPr>
      </w:pPr>
      <w:r>
        <w:rPr>
          <w:rFonts w:hint="eastAsia" w:asciiTheme="minorHAnsi" w:eastAsiaTheme="minorEastAsia"/>
          <w:b w:val="0"/>
          <w:bCs w:val="0"/>
          <w:color w:val="auto"/>
          <w:sz w:val="28"/>
          <w:szCs w:val="28"/>
          <w:lang w:val="en-US" w:eastAsia="zh-CN"/>
        </w:rPr>
        <w:t>主持人：数字中国研究院（福建）执行院长 何昌垂</w:t>
      </w:r>
    </w:p>
    <w:tbl>
      <w:tblPr>
        <w:tblStyle w:val="12"/>
        <w:tblW w:w="799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66"/>
        <w:gridCol w:w="3576"/>
        <w:gridCol w:w="17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666" w:type="dxa"/>
            <w:shd w:val="clear" w:color="auto" w:fill="A5A5A5" w:themeFill="background1" w:themeFillShade="A6"/>
          </w:tcPr>
          <w:p>
            <w:pPr>
              <w:rPr>
                <w:rFonts w:hint="eastAsia" w:asciiTheme="minorHAnsi" w:eastAsiaTheme="minorEastAsia"/>
                <w:b w:val="0"/>
                <w:bCs w:val="0"/>
                <w:color w:val="auto"/>
                <w:sz w:val="24"/>
                <w:szCs w:val="24"/>
                <w:lang w:val="en-US" w:eastAsia="zh-CN"/>
              </w:rPr>
            </w:pPr>
            <w:r>
              <w:rPr>
                <w:rFonts w:hint="eastAsia" w:asciiTheme="minorHAnsi" w:eastAsiaTheme="minorEastAsia"/>
                <w:b w:val="0"/>
                <w:bCs w:val="0"/>
                <w:color w:val="auto"/>
                <w:sz w:val="24"/>
                <w:szCs w:val="24"/>
                <w:lang w:val="en-US" w:eastAsia="zh-CN"/>
              </w:rPr>
              <w:t>嘉宾</w:t>
            </w:r>
          </w:p>
        </w:tc>
        <w:tc>
          <w:tcPr>
            <w:tcW w:w="3576" w:type="dxa"/>
            <w:shd w:val="clear" w:color="auto" w:fill="A5A5A5" w:themeFill="background1" w:themeFillShade="A6"/>
          </w:tcPr>
          <w:p>
            <w:pPr>
              <w:rPr>
                <w:rFonts w:hint="eastAsia" w:asciiTheme="minorHAnsi" w:eastAsiaTheme="minorEastAsia"/>
                <w:b w:val="0"/>
                <w:bCs w:val="0"/>
                <w:color w:val="auto"/>
                <w:sz w:val="24"/>
                <w:szCs w:val="24"/>
                <w:lang w:val="en-US" w:eastAsia="zh-CN"/>
              </w:rPr>
            </w:pPr>
            <w:r>
              <w:rPr>
                <w:rFonts w:hint="eastAsia" w:asciiTheme="minorHAnsi" w:eastAsiaTheme="minorEastAsia"/>
                <w:b w:val="0"/>
                <w:bCs w:val="0"/>
                <w:color w:val="auto"/>
                <w:sz w:val="24"/>
                <w:szCs w:val="24"/>
                <w:lang w:val="en-US" w:eastAsia="zh-CN"/>
              </w:rPr>
              <w:t>职务</w:t>
            </w:r>
          </w:p>
        </w:tc>
        <w:tc>
          <w:tcPr>
            <w:tcW w:w="1754" w:type="dxa"/>
            <w:shd w:val="clear" w:color="auto" w:fill="A5A5A5" w:themeFill="background1" w:themeFillShade="A6"/>
          </w:tcPr>
          <w:p>
            <w:pPr>
              <w:rPr>
                <w:rFonts w:hint="eastAsia" w:asciiTheme="minorHAnsi" w:eastAsiaTheme="minorEastAsia"/>
                <w:b w:val="0"/>
                <w:bCs w:val="0"/>
                <w:color w:val="auto"/>
                <w:sz w:val="24"/>
                <w:szCs w:val="24"/>
                <w:lang w:val="en-US" w:eastAsia="zh-CN"/>
              </w:rPr>
            </w:pPr>
            <w:r>
              <w:rPr>
                <w:rFonts w:hint="eastAsia" w:asciiTheme="minorHAnsi" w:eastAsiaTheme="minorEastAsia"/>
                <w:b w:val="0"/>
                <w:bCs w:val="0"/>
                <w:color w:val="auto"/>
                <w:sz w:val="24"/>
                <w:szCs w:val="24"/>
                <w:lang w:val="en-US" w:eastAsia="zh-CN"/>
              </w:rPr>
              <w:t>发言题目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666" w:type="dxa"/>
            <w:vAlign w:val="center"/>
          </w:tcPr>
          <w:p>
            <w:pPr>
              <w:rPr>
                <w:rFonts w:hint="eastAsia" w:asciiTheme="minorHAnsi" w:eastAsiaTheme="minorEastAsia"/>
                <w:b w:val="0"/>
                <w:bCs w:val="0"/>
                <w:color w:val="auto"/>
                <w:sz w:val="24"/>
                <w:szCs w:val="24"/>
                <w:lang w:val="en-US" w:eastAsia="zh-CN"/>
              </w:rPr>
            </w:pPr>
            <w:r>
              <w:rPr>
                <w:rFonts w:hint="eastAsia" w:asciiTheme="minorHAnsi" w:eastAsiaTheme="minorEastAsia"/>
                <w:b w:val="0"/>
                <w:bCs w:val="0"/>
                <w:color w:val="auto"/>
                <w:sz w:val="24"/>
                <w:szCs w:val="24"/>
                <w:lang w:val="en-US" w:eastAsia="zh-CN"/>
              </w:rPr>
              <w:t>张志南</w:t>
            </w:r>
          </w:p>
        </w:tc>
        <w:tc>
          <w:tcPr>
            <w:tcW w:w="3576" w:type="dxa"/>
            <w:vAlign w:val="center"/>
          </w:tcPr>
          <w:p>
            <w:pPr>
              <w:rPr>
                <w:rFonts w:hint="eastAsia" w:asciiTheme="minorHAnsi" w:eastAsiaTheme="minorEastAsia"/>
                <w:b w:val="0"/>
                <w:bCs w:val="0"/>
                <w:color w:val="auto"/>
                <w:sz w:val="24"/>
                <w:szCs w:val="24"/>
                <w:lang w:val="en-US" w:eastAsia="zh-CN"/>
              </w:rPr>
            </w:pPr>
            <w:r>
              <w:rPr>
                <w:rFonts w:hint="eastAsia" w:asciiTheme="minorHAnsi" w:eastAsiaTheme="minorEastAsia"/>
                <w:b w:val="0"/>
                <w:bCs w:val="0"/>
                <w:color w:val="auto"/>
                <w:sz w:val="24"/>
                <w:szCs w:val="24"/>
                <w:lang w:val="en-US" w:eastAsia="zh-CN"/>
              </w:rPr>
              <w:t>福建省委常委、常务副省长</w:t>
            </w:r>
          </w:p>
        </w:tc>
        <w:tc>
          <w:tcPr>
            <w:tcW w:w="1754" w:type="dxa"/>
            <w:vAlign w:val="center"/>
          </w:tcPr>
          <w:p>
            <w:pPr>
              <w:rPr>
                <w:rFonts w:hint="eastAsia" w:asciiTheme="minorHAnsi" w:eastAsiaTheme="minorEastAsia"/>
                <w:b w:val="0"/>
                <w:bCs w:val="0"/>
                <w:color w:val="auto"/>
                <w:sz w:val="24"/>
                <w:szCs w:val="24"/>
                <w:lang w:val="en-US" w:eastAsia="zh-CN"/>
              </w:rPr>
            </w:pPr>
            <w:r>
              <w:rPr>
                <w:rFonts w:hint="eastAsia" w:asciiTheme="minorHAnsi" w:eastAsiaTheme="minorEastAsia"/>
                <w:b w:val="0"/>
                <w:bCs w:val="0"/>
                <w:color w:val="auto"/>
                <w:sz w:val="24"/>
                <w:szCs w:val="24"/>
                <w:lang w:val="en-US" w:eastAsia="zh-CN"/>
              </w:rPr>
              <w:t>致辞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666" w:type="dxa"/>
            <w:vAlign w:val="center"/>
          </w:tcPr>
          <w:p>
            <w:pPr>
              <w:rPr>
                <w:rFonts w:hint="eastAsia" w:asciiTheme="minorHAnsi" w:eastAsiaTheme="minorEastAsia"/>
                <w:b w:val="0"/>
                <w:bCs w:val="0"/>
                <w:color w:val="auto"/>
                <w:sz w:val="24"/>
                <w:szCs w:val="24"/>
                <w:lang w:val="en-US" w:eastAsia="zh-CN"/>
              </w:rPr>
            </w:pPr>
            <w:r>
              <w:rPr>
                <w:rFonts w:hint="eastAsia" w:asciiTheme="minorHAnsi" w:eastAsiaTheme="minorEastAsia"/>
                <w:b w:val="0"/>
                <w:bCs w:val="0"/>
                <w:color w:val="auto"/>
                <w:sz w:val="24"/>
                <w:szCs w:val="24"/>
                <w:lang w:val="en-US" w:eastAsia="zh-CN"/>
              </w:rPr>
              <w:t>王钦敏</w:t>
            </w:r>
          </w:p>
        </w:tc>
        <w:tc>
          <w:tcPr>
            <w:tcW w:w="3576" w:type="dxa"/>
            <w:vAlign w:val="center"/>
          </w:tcPr>
          <w:p>
            <w:pPr>
              <w:rPr>
                <w:rFonts w:hint="eastAsia" w:asciiTheme="minorHAnsi" w:eastAsiaTheme="minorEastAsia"/>
                <w:b w:val="0"/>
                <w:bCs w:val="0"/>
                <w:color w:val="auto"/>
                <w:sz w:val="24"/>
                <w:szCs w:val="24"/>
                <w:lang w:val="en-US" w:eastAsia="zh-CN"/>
              </w:rPr>
            </w:pPr>
            <w:r>
              <w:rPr>
                <w:rFonts w:hint="eastAsia" w:asciiTheme="minorHAnsi" w:eastAsiaTheme="minorEastAsia"/>
                <w:b w:val="0"/>
                <w:bCs w:val="0"/>
                <w:color w:val="auto"/>
                <w:sz w:val="24"/>
                <w:szCs w:val="24"/>
                <w:lang w:val="en-US" w:eastAsia="zh-CN"/>
              </w:rPr>
              <w:t>第十二届全国政协副主席</w:t>
            </w:r>
          </w:p>
        </w:tc>
        <w:tc>
          <w:tcPr>
            <w:tcW w:w="1754" w:type="dxa"/>
            <w:vAlign w:val="center"/>
          </w:tcPr>
          <w:p>
            <w:pPr>
              <w:rPr>
                <w:rFonts w:hint="eastAsia" w:asciiTheme="minorHAnsi" w:eastAsiaTheme="minorEastAsia"/>
                <w:b w:val="0"/>
                <w:bCs w:val="0"/>
                <w:color w:val="auto"/>
                <w:sz w:val="24"/>
                <w:szCs w:val="24"/>
                <w:lang w:val="en-US" w:eastAsia="zh-CN"/>
              </w:rPr>
            </w:pPr>
            <w:r>
              <w:rPr>
                <w:rFonts w:hint="eastAsia" w:asciiTheme="minorHAnsi" w:eastAsiaTheme="minorEastAsia"/>
                <w:b w:val="0"/>
                <w:bCs w:val="0"/>
                <w:color w:val="auto"/>
                <w:sz w:val="24"/>
                <w:szCs w:val="24"/>
                <w:lang w:val="en-US" w:eastAsia="zh-CN"/>
              </w:rPr>
              <w:t>＂数字福建＂信息应用服务基础设施建设</w:t>
            </w:r>
          </w:p>
        </w:tc>
      </w:tr>
    </w:tbl>
    <w:p>
      <w:pPr>
        <w:jc w:val="both"/>
        <w:rPr>
          <w:rFonts w:hint="eastAsia" w:asciiTheme="minorHAnsi" w:eastAsiaTheme="minorEastAsia"/>
          <w:b w:val="0"/>
          <w:bCs w:val="0"/>
          <w:color w:val="auto"/>
          <w:sz w:val="28"/>
          <w:szCs w:val="28"/>
          <w:lang w:val="en-US" w:eastAsia="zh-CN"/>
        </w:rPr>
      </w:pPr>
    </w:p>
    <w:p>
      <w:pPr>
        <w:jc w:val="center"/>
        <w:rPr>
          <w:rFonts w:hint="eastAsia" w:asciiTheme="minorHAnsi" w:eastAsiaTheme="minorEastAsia"/>
          <w:b w:val="0"/>
          <w:bCs w:val="0"/>
          <w:color w:val="auto"/>
          <w:sz w:val="28"/>
          <w:szCs w:val="28"/>
          <w:lang w:val="en-US" w:eastAsia="zh-CN"/>
        </w:rPr>
      </w:pPr>
      <w:r>
        <w:rPr>
          <w:rFonts w:hint="eastAsia" w:asciiTheme="minorHAnsi" w:eastAsiaTheme="minorEastAsia"/>
          <w:b w:val="0"/>
          <w:bCs w:val="0"/>
          <w:color w:val="auto"/>
          <w:sz w:val="28"/>
          <w:szCs w:val="28"/>
          <w:lang w:val="en-US" w:eastAsia="zh-CN"/>
        </w:rPr>
        <w:t>议题：（二）主题报告A—数字+政府板块</w:t>
      </w:r>
    </w:p>
    <w:p>
      <w:pPr>
        <w:jc w:val="center"/>
        <w:rPr>
          <w:rFonts w:hint="eastAsia" w:asciiTheme="minorHAnsi" w:eastAsiaTheme="minorEastAsia"/>
          <w:b w:val="0"/>
          <w:bCs w:val="0"/>
          <w:color w:val="auto"/>
          <w:sz w:val="28"/>
          <w:szCs w:val="28"/>
          <w:lang w:val="en-US" w:eastAsia="zh-CN"/>
        </w:rPr>
      </w:pPr>
      <w:r>
        <w:rPr>
          <w:rFonts w:hint="eastAsia" w:asciiTheme="minorHAnsi" w:eastAsiaTheme="minorEastAsia"/>
          <w:b w:val="0"/>
          <w:bCs w:val="0"/>
          <w:color w:val="auto"/>
          <w:sz w:val="28"/>
          <w:szCs w:val="28"/>
          <w:lang w:val="en-US" w:eastAsia="zh-CN"/>
        </w:rPr>
        <w:t>主持人：数字中国研究院（福建）副院长 宋志刚</w:t>
      </w:r>
    </w:p>
    <w:tbl>
      <w:tblPr>
        <w:tblStyle w:val="12"/>
        <w:tblW w:w="80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32"/>
        <w:gridCol w:w="2975"/>
        <w:gridCol w:w="32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32" w:type="dxa"/>
            <w:shd w:val="clear" w:color="auto" w:fill="A5A5A5" w:themeFill="background1" w:themeFillShade="A6"/>
          </w:tcPr>
          <w:p>
            <w:pPr>
              <w:rPr>
                <w:rFonts w:hint="eastAsia" w:asciiTheme="minorHAnsi" w:eastAsiaTheme="minorEastAsia"/>
                <w:b w:val="0"/>
                <w:bCs w:val="0"/>
                <w:color w:val="auto"/>
                <w:sz w:val="24"/>
                <w:szCs w:val="24"/>
                <w:lang w:val="en-US" w:eastAsia="zh-CN"/>
              </w:rPr>
            </w:pPr>
            <w:r>
              <w:rPr>
                <w:rFonts w:hint="eastAsia" w:asciiTheme="minorHAnsi" w:eastAsiaTheme="minorEastAsia"/>
                <w:b w:val="0"/>
                <w:bCs w:val="0"/>
                <w:color w:val="auto"/>
                <w:sz w:val="24"/>
                <w:szCs w:val="24"/>
                <w:lang w:val="en-US" w:eastAsia="zh-CN"/>
              </w:rPr>
              <w:t>嘉宾</w:t>
            </w:r>
          </w:p>
        </w:tc>
        <w:tc>
          <w:tcPr>
            <w:tcW w:w="2975" w:type="dxa"/>
            <w:shd w:val="clear" w:color="auto" w:fill="A5A5A5" w:themeFill="background1" w:themeFillShade="A6"/>
          </w:tcPr>
          <w:p>
            <w:pPr>
              <w:rPr>
                <w:rFonts w:hint="eastAsia" w:asciiTheme="minorHAnsi" w:eastAsiaTheme="minorEastAsia"/>
                <w:b w:val="0"/>
                <w:bCs w:val="0"/>
                <w:color w:val="auto"/>
                <w:sz w:val="24"/>
                <w:szCs w:val="24"/>
                <w:lang w:val="en-US" w:eastAsia="zh-CN"/>
              </w:rPr>
            </w:pPr>
            <w:r>
              <w:rPr>
                <w:rFonts w:hint="eastAsia" w:asciiTheme="minorHAnsi" w:eastAsiaTheme="minorEastAsia"/>
                <w:b w:val="0"/>
                <w:bCs w:val="0"/>
                <w:color w:val="auto"/>
                <w:sz w:val="24"/>
                <w:szCs w:val="24"/>
                <w:lang w:val="en-US" w:eastAsia="zh-CN"/>
              </w:rPr>
              <w:t>职务</w:t>
            </w:r>
          </w:p>
        </w:tc>
        <w:tc>
          <w:tcPr>
            <w:tcW w:w="3298" w:type="dxa"/>
            <w:shd w:val="clear" w:color="auto" w:fill="A5A5A5" w:themeFill="background1" w:themeFillShade="A6"/>
          </w:tcPr>
          <w:p>
            <w:pPr>
              <w:rPr>
                <w:rFonts w:hint="eastAsia" w:asciiTheme="minorHAnsi" w:eastAsiaTheme="minorEastAsia"/>
                <w:b w:val="0"/>
                <w:bCs w:val="0"/>
                <w:color w:val="auto"/>
                <w:sz w:val="24"/>
                <w:szCs w:val="24"/>
                <w:lang w:val="en-US" w:eastAsia="zh-CN"/>
              </w:rPr>
            </w:pPr>
            <w:r>
              <w:rPr>
                <w:rFonts w:hint="eastAsia" w:asciiTheme="minorHAnsi" w:eastAsiaTheme="minorEastAsia"/>
                <w:b w:val="0"/>
                <w:bCs w:val="0"/>
                <w:color w:val="auto"/>
                <w:sz w:val="24"/>
                <w:szCs w:val="24"/>
                <w:lang w:val="en-US" w:eastAsia="zh-CN"/>
              </w:rPr>
              <w:t>发言题目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32" w:type="dxa"/>
            <w:vAlign w:val="center"/>
          </w:tcPr>
          <w:p>
            <w:pPr>
              <w:rPr>
                <w:rFonts w:hint="eastAsia" w:asciiTheme="minorHAnsi" w:eastAsiaTheme="minorEastAsia"/>
                <w:b w:val="0"/>
                <w:bCs w:val="0"/>
                <w:color w:val="auto"/>
                <w:sz w:val="24"/>
                <w:szCs w:val="24"/>
                <w:lang w:val="en-US" w:eastAsia="zh-CN"/>
              </w:rPr>
            </w:pPr>
            <w:r>
              <w:rPr>
                <w:rFonts w:hint="eastAsia" w:asciiTheme="minorHAnsi" w:eastAsiaTheme="minorEastAsia"/>
                <w:b w:val="0"/>
                <w:bCs w:val="0"/>
                <w:color w:val="auto"/>
                <w:sz w:val="24"/>
                <w:szCs w:val="24"/>
                <w:lang w:val="en-US" w:eastAsia="zh-CN"/>
              </w:rPr>
              <w:t>尤猛军</w:t>
            </w:r>
          </w:p>
        </w:tc>
        <w:tc>
          <w:tcPr>
            <w:tcW w:w="2975" w:type="dxa"/>
            <w:vAlign w:val="center"/>
          </w:tcPr>
          <w:p>
            <w:pPr>
              <w:rPr>
                <w:rFonts w:hint="eastAsia" w:asciiTheme="minorHAnsi" w:eastAsiaTheme="minorEastAsia"/>
                <w:b w:val="0"/>
                <w:bCs w:val="0"/>
                <w:color w:val="auto"/>
                <w:sz w:val="24"/>
                <w:szCs w:val="24"/>
                <w:lang w:val="en-US" w:eastAsia="zh-CN"/>
              </w:rPr>
            </w:pPr>
            <w:r>
              <w:rPr>
                <w:rFonts w:hint="eastAsia" w:asciiTheme="minorHAnsi" w:eastAsiaTheme="minorEastAsia"/>
                <w:b w:val="0"/>
                <w:bCs w:val="0"/>
                <w:color w:val="auto"/>
                <w:sz w:val="24"/>
                <w:szCs w:val="24"/>
                <w:lang w:val="en-US" w:eastAsia="zh-CN"/>
              </w:rPr>
              <w:t>福州市委副书记、市长</w:t>
            </w:r>
          </w:p>
        </w:tc>
        <w:tc>
          <w:tcPr>
            <w:tcW w:w="3298" w:type="dxa"/>
            <w:vAlign w:val="center"/>
          </w:tcPr>
          <w:p>
            <w:pPr>
              <w:rPr>
                <w:rFonts w:hint="eastAsia" w:asciiTheme="minorHAnsi" w:eastAsiaTheme="minorEastAsia"/>
                <w:b w:val="0"/>
                <w:bCs w:val="0"/>
                <w:color w:val="auto"/>
                <w:sz w:val="24"/>
                <w:szCs w:val="24"/>
                <w:lang w:val="en-US" w:eastAsia="zh-CN"/>
              </w:rPr>
            </w:pPr>
            <w:r>
              <w:rPr>
                <w:rFonts w:hint="eastAsia" w:asciiTheme="minorHAnsi" w:eastAsiaTheme="minorEastAsia"/>
                <w:b w:val="0"/>
                <w:bCs w:val="0"/>
                <w:color w:val="auto"/>
                <w:sz w:val="24"/>
                <w:szCs w:val="24"/>
                <w:lang w:val="en-US" w:eastAsia="zh-CN"/>
              </w:rPr>
              <w:t>数字福州：信息惠民的实践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732" w:type="dxa"/>
            <w:vAlign w:val="center"/>
          </w:tcPr>
          <w:p>
            <w:pPr>
              <w:rPr>
                <w:rFonts w:hint="eastAsia" w:asciiTheme="minorHAnsi" w:eastAsiaTheme="minorEastAsia"/>
                <w:b w:val="0"/>
                <w:bCs w:val="0"/>
                <w:color w:val="auto"/>
                <w:sz w:val="24"/>
                <w:szCs w:val="24"/>
                <w:lang w:val="en-US" w:eastAsia="zh-CN"/>
              </w:rPr>
            </w:pPr>
            <w:r>
              <w:rPr>
                <w:rFonts w:hint="eastAsia" w:asciiTheme="minorHAnsi" w:eastAsiaTheme="minorEastAsia"/>
                <w:b w:val="0"/>
                <w:bCs w:val="0"/>
                <w:color w:val="auto"/>
                <w:sz w:val="24"/>
                <w:szCs w:val="24"/>
                <w:lang w:val="en-US" w:eastAsia="zh-CN"/>
              </w:rPr>
              <w:t>钟  军</w:t>
            </w:r>
          </w:p>
        </w:tc>
        <w:tc>
          <w:tcPr>
            <w:tcW w:w="2975" w:type="dxa"/>
            <w:vAlign w:val="center"/>
          </w:tcPr>
          <w:p>
            <w:pPr>
              <w:rPr>
                <w:rFonts w:hint="eastAsia" w:asciiTheme="minorHAnsi" w:eastAsiaTheme="minorEastAsia"/>
                <w:b w:val="0"/>
                <w:bCs w:val="0"/>
                <w:color w:val="auto"/>
                <w:sz w:val="24"/>
                <w:szCs w:val="24"/>
                <w:lang w:val="en-US" w:eastAsia="zh-CN"/>
              </w:rPr>
            </w:pPr>
            <w:r>
              <w:rPr>
                <w:rFonts w:hint="eastAsia" w:asciiTheme="minorHAnsi" w:eastAsiaTheme="minorEastAsia"/>
                <w:b w:val="0"/>
                <w:bCs w:val="0"/>
                <w:color w:val="auto"/>
                <w:sz w:val="24"/>
                <w:szCs w:val="24"/>
                <w:lang w:val="en-US" w:eastAsia="zh-CN"/>
              </w:rPr>
              <w:t>福建省电子信息集团总经理</w:t>
            </w:r>
          </w:p>
        </w:tc>
        <w:tc>
          <w:tcPr>
            <w:tcW w:w="3298" w:type="dxa"/>
            <w:vAlign w:val="center"/>
          </w:tcPr>
          <w:p>
            <w:pPr>
              <w:rPr>
                <w:rFonts w:hint="eastAsia" w:asciiTheme="minorHAnsi" w:eastAsiaTheme="minorEastAsia"/>
                <w:b w:val="0"/>
                <w:bCs w:val="0"/>
                <w:color w:val="auto"/>
                <w:sz w:val="24"/>
                <w:szCs w:val="24"/>
                <w:lang w:val="en-US" w:eastAsia="zh-CN"/>
              </w:rPr>
            </w:pPr>
            <w:r>
              <w:rPr>
                <w:rFonts w:hint="eastAsia" w:asciiTheme="minorHAnsi" w:eastAsiaTheme="minorEastAsia"/>
                <w:b w:val="0"/>
                <w:bCs w:val="0"/>
                <w:color w:val="auto"/>
                <w:sz w:val="24"/>
                <w:szCs w:val="24"/>
                <w:lang w:val="en-US" w:eastAsia="zh-CN"/>
              </w:rPr>
              <w:t>强化数字福建核心能力建设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32" w:type="dxa"/>
            <w:vAlign w:val="center"/>
          </w:tcPr>
          <w:p>
            <w:pPr>
              <w:rPr>
                <w:rFonts w:hint="eastAsia" w:asciiTheme="minorHAnsi" w:eastAsiaTheme="minorEastAsia"/>
                <w:b w:val="0"/>
                <w:bCs w:val="0"/>
                <w:color w:val="auto"/>
                <w:sz w:val="24"/>
                <w:szCs w:val="24"/>
                <w:lang w:val="en-US" w:eastAsia="zh-CN"/>
              </w:rPr>
            </w:pPr>
            <w:r>
              <w:rPr>
                <w:rFonts w:hint="eastAsia" w:asciiTheme="minorHAnsi" w:eastAsiaTheme="minorEastAsia"/>
                <w:b w:val="0"/>
                <w:bCs w:val="0"/>
                <w:color w:val="auto"/>
                <w:sz w:val="24"/>
                <w:szCs w:val="24"/>
                <w:lang w:val="en-US" w:eastAsia="zh-CN"/>
              </w:rPr>
              <w:t>王  崧</w:t>
            </w:r>
          </w:p>
        </w:tc>
        <w:tc>
          <w:tcPr>
            <w:tcW w:w="2975" w:type="dxa"/>
            <w:vAlign w:val="center"/>
          </w:tcPr>
          <w:p>
            <w:pPr>
              <w:rPr>
                <w:rFonts w:hint="eastAsia" w:asciiTheme="minorHAnsi" w:eastAsiaTheme="minorEastAsia"/>
                <w:b w:val="0"/>
                <w:bCs w:val="0"/>
                <w:color w:val="auto"/>
                <w:sz w:val="24"/>
                <w:szCs w:val="24"/>
                <w:lang w:val="en-US" w:eastAsia="zh-CN"/>
              </w:rPr>
            </w:pPr>
            <w:r>
              <w:rPr>
                <w:rFonts w:hint="eastAsia" w:asciiTheme="minorHAnsi" w:eastAsiaTheme="minorEastAsia"/>
                <w:b w:val="0"/>
                <w:bCs w:val="0"/>
                <w:color w:val="auto"/>
                <w:sz w:val="24"/>
                <w:szCs w:val="24"/>
                <w:lang w:val="en-US" w:eastAsia="zh-CN"/>
              </w:rPr>
              <w:t>安徽省数据资源管理局（政务服务管理局）局长，叶文卿副局长代表</w:t>
            </w:r>
          </w:p>
        </w:tc>
        <w:tc>
          <w:tcPr>
            <w:tcW w:w="3298" w:type="dxa"/>
            <w:vAlign w:val="center"/>
          </w:tcPr>
          <w:p>
            <w:pPr>
              <w:rPr>
                <w:rFonts w:hint="eastAsia" w:asciiTheme="minorHAnsi" w:eastAsiaTheme="minorEastAsia"/>
                <w:b w:val="0"/>
                <w:bCs w:val="0"/>
                <w:color w:val="auto"/>
                <w:sz w:val="24"/>
                <w:szCs w:val="24"/>
                <w:lang w:val="en-US" w:eastAsia="zh-CN"/>
              </w:rPr>
            </w:pPr>
            <w:r>
              <w:rPr>
                <w:rFonts w:hint="eastAsia" w:asciiTheme="minorHAnsi" w:eastAsiaTheme="minorEastAsia"/>
                <w:b w:val="0"/>
                <w:bCs w:val="0"/>
                <w:color w:val="auto"/>
                <w:sz w:val="24"/>
                <w:szCs w:val="24"/>
                <w:lang w:val="en-US" w:eastAsia="zh-CN"/>
              </w:rPr>
              <w:t>以智慧政务引领转型  高质量建设数字江淮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32" w:type="dxa"/>
            <w:vAlign w:val="center"/>
          </w:tcPr>
          <w:p>
            <w:pPr>
              <w:rPr>
                <w:rFonts w:hint="eastAsia" w:asciiTheme="minorHAnsi" w:eastAsiaTheme="minorEastAsia"/>
                <w:b w:val="0"/>
                <w:bCs w:val="0"/>
                <w:color w:val="auto"/>
                <w:sz w:val="24"/>
                <w:szCs w:val="24"/>
                <w:lang w:val="en-US" w:eastAsia="zh-CN"/>
              </w:rPr>
            </w:pPr>
            <w:r>
              <w:rPr>
                <w:rFonts w:hint="eastAsia" w:asciiTheme="minorHAnsi" w:eastAsiaTheme="minorEastAsia"/>
                <w:b w:val="0"/>
                <w:bCs w:val="0"/>
                <w:color w:val="auto"/>
                <w:sz w:val="24"/>
                <w:szCs w:val="24"/>
                <w:lang w:val="en-US" w:eastAsia="zh-CN"/>
              </w:rPr>
              <w:t>吴南翔</w:t>
            </w:r>
          </w:p>
        </w:tc>
        <w:tc>
          <w:tcPr>
            <w:tcW w:w="2975" w:type="dxa"/>
            <w:vAlign w:val="center"/>
          </w:tcPr>
          <w:p>
            <w:pPr>
              <w:rPr>
                <w:rFonts w:hint="eastAsia" w:asciiTheme="minorHAnsi" w:eastAsiaTheme="minorEastAsia"/>
                <w:b w:val="0"/>
                <w:bCs w:val="0"/>
                <w:color w:val="auto"/>
                <w:sz w:val="24"/>
                <w:szCs w:val="24"/>
                <w:lang w:val="en-US" w:eastAsia="zh-CN"/>
              </w:rPr>
            </w:pPr>
            <w:r>
              <w:rPr>
                <w:rFonts w:hint="eastAsia" w:asciiTheme="minorHAnsi" w:eastAsiaTheme="minorEastAsia"/>
                <w:b w:val="0"/>
                <w:bCs w:val="0"/>
                <w:color w:val="auto"/>
                <w:sz w:val="24"/>
                <w:szCs w:val="24"/>
                <w:lang w:val="en-US" w:eastAsia="zh-CN"/>
              </w:rPr>
              <w:t>福建省商务厅党组书记、厅长</w:t>
            </w:r>
          </w:p>
        </w:tc>
        <w:tc>
          <w:tcPr>
            <w:tcW w:w="3298" w:type="dxa"/>
            <w:vAlign w:val="center"/>
          </w:tcPr>
          <w:p>
            <w:pPr>
              <w:rPr>
                <w:rFonts w:hint="eastAsia" w:asciiTheme="minorHAnsi" w:eastAsiaTheme="minorEastAsia"/>
                <w:b w:val="0"/>
                <w:bCs w:val="0"/>
                <w:color w:val="auto"/>
                <w:sz w:val="24"/>
                <w:szCs w:val="24"/>
                <w:lang w:val="en-US" w:eastAsia="zh-CN"/>
              </w:rPr>
            </w:pPr>
            <w:r>
              <w:rPr>
                <w:rFonts w:hint="eastAsia" w:asciiTheme="minorHAnsi" w:eastAsiaTheme="minorEastAsia"/>
                <w:b w:val="0"/>
                <w:bCs w:val="0"/>
                <w:color w:val="auto"/>
                <w:sz w:val="24"/>
                <w:szCs w:val="24"/>
                <w:lang w:val="en-US" w:eastAsia="zh-CN"/>
              </w:rPr>
              <w:t>发布《中国（福建）国际贸易单一窗口建设实践白皮书》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32" w:type="dxa"/>
            <w:vAlign w:val="center"/>
          </w:tcPr>
          <w:p>
            <w:pPr>
              <w:rPr>
                <w:rFonts w:hint="eastAsia" w:asciiTheme="minorHAnsi" w:eastAsiaTheme="minorEastAsia"/>
                <w:b w:val="0"/>
                <w:bCs w:val="0"/>
                <w:color w:val="auto"/>
                <w:sz w:val="24"/>
                <w:szCs w:val="24"/>
                <w:lang w:val="en-US" w:eastAsia="zh-CN"/>
              </w:rPr>
            </w:pPr>
            <w:r>
              <w:rPr>
                <w:rFonts w:hint="eastAsia" w:asciiTheme="minorHAnsi" w:eastAsiaTheme="minorEastAsia"/>
                <w:b w:val="0"/>
                <w:bCs w:val="0"/>
                <w:color w:val="auto"/>
                <w:sz w:val="24"/>
                <w:szCs w:val="24"/>
                <w:lang w:val="en-US" w:eastAsia="zh-CN"/>
              </w:rPr>
              <w:t>何昌垂</w:t>
            </w:r>
          </w:p>
        </w:tc>
        <w:tc>
          <w:tcPr>
            <w:tcW w:w="2975" w:type="dxa"/>
            <w:vAlign w:val="center"/>
          </w:tcPr>
          <w:p>
            <w:pPr>
              <w:rPr>
                <w:rFonts w:hint="eastAsia" w:asciiTheme="minorHAnsi" w:eastAsiaTheme="minorEastAsia"/>
                <w:b w:val="0"/>
                <w:bCs w:val="0"/>
                <w:color w:val="auto"/>
                <w:sz w:val="24"/>
                <w:szCs w:val="24"/>
                <w:lang w:val="en-US" w:eastAsia="zh-CN"/>
              </w:rPr>
            </w:pPr>
            <w:r>
              <w:rPr>
                <w:rFonts w:hint="eastAsia" w:asciiTheme="minorHAnsi" w:eastAsiaTheme="minorEastAsia"/>
                <w:b w:val="0"/>
                <w:bCs w:val="0"/>
                <w:color w:val="auto"/>
                <w:sz w:val="24"/>
                <w:szCs w:val="24"/>
                <w:lang w:val="en-US" w:eastAsia="zh-CN"/>
              </w:rPr>
              <w:t>数字中国研究院（福建）执行院长</w:t>
            </w:r>
          </w:p>
        </w:tc>
        <w:tc>
          <w:tcPr>
            <w:tcW w:w="3298" w:type="dxa"/>
            <w:vAlign w:val="center"/>
          </w:tcPr>
          <w:p>
            <w:pPr>
              <w:rPr>
                <w:rFonts w:hint="eastAsia" w:asciiTheme="minorHAnsi" w:eastAsiaTheme="minorEastAsia"/>
                <w:b w:val="0"/>
                <w:bCs w:val="0"/>
                <w:color w:val="auto"/>
                <w:sz w:val="24"/>
                <w:szCs w:val="24"/>
                <w:lang w:val="en-US" w:eastAsia="zh-CN"/>
              </w:rPr>
            </w:pPr>
            <w:r>
              <w:rPr>
                <w:rFonts w:hint="eastAsia" w:asciiTheme="minorHAnsi" w:eastAsiaTheme="minorEastAsia"/>
                <w:b w:val="0"/>
                <w:bCs w:val="0"/>
                <w:color w:val="auto"/>
                <w:sz w:val="24"/>
                <w:szCs w:val="24"/>
                <w:lang w:val="en-US" w:eastAsia="zh-CN"/>
              </w:rPr>
              <w:t>发布数字福建十佳实践成果</w:t>
            </w:r>
          </w:p>
        </w:tc>
      </w:tr>
    </w:tbl>
    <w:p>
      <w:pPr>
        <w:jc w:val="center"/>
        <w:rPr>
          <w:rFonts w:hint="eastAsia" w:asciiTheme="minorHAnsi" w:eastAsiaTheme="minorEastAsia"/>
          <w:b w:val="0"/>
          <w:bCs w:val="0"/>
          <w:color w:val="auto"/>
          <w:sz w:val="28"/>
          <w:szCs w:val="28"/>
          <w:lang w:val="en-US" w:eastAsia="zh-CN"/>
        </w:rPr>
      </w:pPr>
    </w:p>
    <w:p>
      <w:pPr>
        <w:jc w:val="center"/>
        <w:rPr>
          <w:rFonts w:hint="eastAsia" w:asciiTheme="minorHAnsi" w:eastAsiaTheme="minorEastAsia"/>
          <w:b w:val="0"/>
          <w:bCs w:val="0"/>
          <w:color w:val="auto"/>
          <w:sz w:val="28"/>
          <w:szCs w:val="28"/>
          <w:lang w:val="en-US" w:eastAsia="zh-CN"/>
        </w:rPr>
      </w:pPr>
      <w:r>
        <w:rPr>
          <w:rFonts w:hint="eastAsia" w:asciiTheme="minorHAnsi" w:eastAsiaTheme="minorEastAsia"/>
          <w:b w:val="0"/>
          <w:bCs w:val="0"/>
          <w:color w:val="auto"/>
          <w:sz w:val="28"/>
          <w:szCs w:val="28"/>
          <w:lang w:val="en-US" w:eastAsia="zh-CN"/>
        </w:rPr>
        <w:t>议题：（二）主题报告B—数字+行业板块</w:t>
      </w:r>
    </w:p>
    <w:p>
      <w:pPr>
        <w:jc w:val="center"/>
        <w:rPr>
          <w:rFonts w:hint="eastAsia" w:asciiTheme="minorHAnsi" w:eastAsiaTheme="minorEastAsia"/>
          <w:b w:val="0"/>
          <w:bCs w:val="0"/>
          <w:color w:val="auto"/>
          <w:sz w:val="28"/>
          <w:szCs w:val="28"/>
          <w:lang w:val="en-US" w:eastAsia="zh-CN"/>
        </w:rPr>
      </w:pPr>
      <w:r>
        <w:rPr>
          <w:rFonts w:hint="eastAsia" w:asciiTheme="minorHAnsi" w:eastAsiaTheme="minorEastAsia"/>
          <w:b w:val="0"/>
          <w:bCs w:val="0"/>
          <w:color w:val="auto"/>
          <w:sz w:val="28"/>
          <w:szCs w:val="28"/>
          <w:lang w:val="en-US" w:eastAsia="zh-CN"/>
        </w:rPr>
        <w:t>主持人：福建省数字办主任、大数据管理局局长 陈荣辉</w:t>
      </w:r>
    </w:p>
    <w:tbl>
      <w:tblPr>
        <w:tblStyle w:val="12"/>
        <w:tblW w:w="76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97"/>
        <w:gridCol w:w="2972"/>
        <w:gridCol w:w="35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97" w:type="dxa"/>
            <w:shd w:val="clear" w:color="auto" w:fill="A5A5A5" w:themeFill="background1" w:themeFillShade="A6"/>
          </w:tcPr>
          <w:p>
            <w:pPr>
              <w:rPr>
                <w:rFonts w:hint="eastAsia" w:asciiTheme="minorHAnsi" w:eastAsiaTheme="minorEastAsia"/>
                <w:b w:val="0"/>
                <w:bCs w:val="0"/>
                <w:color w:val="auto"/>
                <w:sz w:val="28"/>
                <w:szCs w:val="28"/>
                <w:lang w:val="en-US" w:eastAsia="zh-CN"/>
              </w:rPr>
            </w:pPr>
            <w:r>
              <w:rPr>
                <w:rFonts w:hint="eastAsia" w:asciiTheme="minorHAnsi" w:eastAsiaTheme="minorEastAsia"/>
                <w:b w:val="0"/>
                <w:bCs w:val="0"/>
                <w:color w:val="auto"/>
                <w:sz w:val="28"/>
                <w:szCs w:val="28"/>
                <w:lang w:val="en-US" w:eastAsia="zh-CN"/>
              </w:rPr>
              <w:t>嘉宾</w:t>
            </w:r>
          </w:p>
        </w:tc>
        <w:tc>
          <w:tcPr>
            <w:tcW w:w="2972" w:type="dxa"/>
            <w:shd w:val="clear" w:color="auto" w:fill="A5A5A5" w:themeFill="background1" w:themeFillShade="A6"/>
          </w:tcPr>
          <w:p>
            <w:pPr>
              <w:rPr>
                <w:rFonts w:hint="eastAsia" w:asciiTheme="minorHAnsi" w:eastAsiaTheme="minorEastAsia"/>
                <w:b w:val="0"/>
                <w:bCs w:val="0"/>
                <w:color w:val="auto"/>
                <w:sz w:val="28"/>
                <w:szCs w:val="28"/>
                <w:lang w:val="en-US" w:eastAsia="zh-CN"/>
              </w:rPr>
            </w:pPr>
            <w:r>
              <w:rPr>
                <w:rFonts w:hint="eastAsia" w:asciiTheme="minorHAnsi" w:eastAsiaTheme="minorEastAsia"/>
                <w:b w:val="0"/>
                <w:bCs w:val="0"/>
                <w:color w:val="auto"/>
                <w:sz w:val="28"/>
                <w:szCs w:val="28"/>
                <w:lang w:val="en-US" w:eastAsia="zh-CN"/>
              </w:rPr>
              <w:t>职务</w:t>
            </w:r>
          </w:p>
        </w:tc>
        <w:tc>
          <w:tcPr>
            <w:tcW w:w="3512" w:type="dxa"/>
            <w:shd w:val="clear" w:color="auto" w:fill="A5A5A5" w:themeFill="background1" w:themeFillShade="A6"/>
          </w:tcPr>
          <w:p>
            <w:pPr>
              <w:rPr>
                <w:rFonts w:hint="eastAsia" w:asciiTheme="minorHAnsi" w:eastAsiaTheme="minorEastAsia"/>
                <w:b w:val="0"/>
                <w:bCs w:val="0"/>
                <w:color w:val="auto"/>
                <w:sz w:val="28"/>
                <w:szCs w:val="28"/>
                <w:lang w:val="en-US" w:eastAsia="zh-CN"/>
              </w:rPr>
            </w:pPr>
            <w:r>
              <w:rPr>
                <w:rFonts w:hint="eastAsia" w:asciiTheme="minorHAnsi" w:eastAsiaTheme="minorEastAsia"/>
                <w:b w:val="0"/>
                <w:bCs w:val="0"/>
                <w:color w:val="auto"/>
                <w:sz w:val="28"/>
                <w:szCs w:val="28"/>
                <w:lang w:val="en-US" w:eastAsia="zh-CN"/>
              </w:rPr>
              <w:t>发言题目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97" w:type="dxa"/>
            <w:vAlign w:val="center"/>
          </w:tcPr>
          <w:p>
            <w:pPr>
              <w:rPr>
                <w:rFonts w:hint="eastAsia" w:asciiTheme="minorHAnsi" w:eastAsiaTheme="minorEastAsia"/>
                <w:b w:val="0"/>
                <w:bCs w:val="0"/>
                <w:color w:val="auto"/>
                <w:sz w:val="24"/>
                <w:szCs w:val="24"/>
                <w:lang w:val="en-US" w:eastAsia="zh-CN"/>
              </w:rPr>
            </w:pPr>
            <w:r>
              <w:rPr>
                <w:rFonts w:hint="eastAsia" w:asciiTheme="minorHAnsi" w:eastAsiaTheme="minorEastAsia"/>
                <w:b w:val="0"/>
                <w:bCs w:val="0"/>
                <w:color w:val="auto"/>
                <w:sz w:val="24"/>
                <w:szCs w:val="24"/>
                <w:lang w:val="en-US" w:eastAsia="zh-CN"/>
              </w:rPr>
              <w:t>张  荣</w:t>
            </w:r>
          </w:p>
        </w:tc>
        <w:tc>
          <w:tcPr>
            <w:tcW w:w="2972" w:type="dxa"/>
            <w:vAlign w:val="center"/>
          </w:tcPr>
          <w:p>
            <w:pPr>
              <w:rPr>
                <w:rFonts w:hint="eastAsia" w:asciiTheme="minorHAnsi" w:eastAsiaTheme="minorEastAsia"/>
                <w:b w:val="0"/>
                <w:bCs w:val="0"/>
                <w:color w:val="auto"/>
                <w:sz w:val="24"/>
                <w:szCs w:val="24"/>
                <w:lang w:val="en-US" w:eastAsia="zh-CN"/>
              </w:rPr>
            </w:pPr>
            <w:r>
              <w:rPr>
                <w:rFonts w:hint="eastAsia" w:asciiTheme="minorHAnsi" w:eastAsiaTheme="minorEastAsia"/>
                <w:b w:val="0"/>
                <w:bCs w:val="0"/>
                <w:color w:val="auto"/>
                <w:sz w:val="24"/>
                <w:szCs w:val="24"/>
                <w:lang w:val="en-US" w:eastAsia="zh-CN"/>
              </w:rPr>
              <w:t>厦门大学校长</w:t>
            </w:r>
          </w:p>
        </w:tc>
        <w:tc>
          <w:tcPr>
            <w:tcW w:w="3512" w:type="dxa"/>
            <w:vAlign w:val="center"/>
          </w:tcPr>
          <w:p>
            <w:pPr>
              <w:rPr>
                <w:rFonts w:hint="eastAsia" w:asciiTheme="minorHAnsi" w:eastAsiaTheme="minorEastAsia"/>
                <w:b w:val="0"/>
                <w:bCs w:val="0"/>
                <w:color w:val="auto"/>
                <w:sz w:val="24"/>
                <w:szCs w:val="24"/>
                <w:lang w:val="en-US" w:eastAsia="zh-CN"/>
              </w:rPr>
            </w:pPr>
            <w:r>
              <w:rPr>
                <w:rFonts w:hint="eastAsia" w:asciiTheme="minorHAnsi" w:eastAsiaTheme="minorEastAsia"/>
                <w:b w:val="0"/>
                <w:bCs w:val="0"/>
                <w:color w:val="auto"/>
                <w:sz w:val="24"/>
                <w:szCs w:val="24"/>
                <w:lang w:val="en-US" w:eastAsia="zh-CN"/>
              </w:rPr>
              <w:t>为智能时代装上“火眼金睛”—让机器“看见”世界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97" w:type="dxa"/>
            <w:vAlign w:val="center"/>
          </w:tcPr>
          <w:p>
            <w:pPr>
              <w:rPr>
                <w:rFonts w:hint="eastAsia" w:asciiTheme="minorHAnsi" w:eastAsiaTheme="minorEastAsia"/>
                <w:b w:val="0"/>
                <w:bCs w:val="0"/>
                <w:color w:val="auto"/>
                <w:sz w:val="24"/>
                <w:szCs w:val="24"/>
                <w:lang w:val="en-US" w:eastAsia="zh-CN"/>
              </w:rPr>
            </w:pPr>
            <w:r>
              <w:rPr>
                <w:rFonts w:hint="eastAsia" w:asciiTheme="minorHAnsi" w:eastAsiaTheme="minorEastAsia"/>
                <w:b w:val="0"/>
                <w:bCs w:val="0"/>
                <w:color w:val="auto"/>
                <w:sz w:val="24"/>
                <w:szCs w:val="24"/>
                <w:lang w:val="en-US" w:eastAsia="zh-CN"/>
              </w:rPr>
              <w:t>陈国鹰</w:t>
            </w:r>
          </w:p>
        </w:tc>
        <w:tc>
          <w:tcPr>
            <w:tcW w:w="2972" w:type="dxa"/>
            <w:vAlign w:val="center"/>
          </w:tcPr>
          <w:p>
            <w:pPr>
              <w:rPr>
                <w:rFonts w:hint="eastAsia" w:asciiTheme="minorHAnsi" w:eastAsiaTheme="minorEastAsia"/>
                <w:b w:val="0"/>
                <w:bCs w:val="0"/>
                <w:color w:val="auto"/>
                <w:sz w:val="24"/>
                <w:szCs w:val="24"/>
                <w:lang w:val="en-US" w:eastAsia="zh-CN"/>
              </w:rPr>
            </w:pPr>
            <w:r>
              <w:rPr>
                <w:rFonts w:hint="eastAsia" w:asciiTheme="minorHAnsi" w:eastAsiaTheme="minorEastAsia"/>
                <w:b w:val="0"/>
                <w:bCs w:val="0"/>
                <w:color w:val="auto"/>
                <w:sz w:val="24"/>
                <w:szCs w:val="24"/>
                <w:lang w:val="en-US" w:eastAsia="zh-CN"/>
              </w:rPr>
              <w:t>福建国脉集团董事长</w:t>
            </w:r>
          </w:p>
        </w:tc>
        <w:tc>
          <w:tcPr>
            <w:tcW w:w="3512" w:type="dxa"/>
            <w:vAlign w:val="center"/>
          </w:tcPr>
          <w:p>
            <w:pPr>
              <w:rPr>
                <w:rFonts w:hint="eastAsia" w:asciiTheme="minorHAnsi" w:eastAsiaTheme="minorEastAsia"/>
                <w:b w:val="0"/>
                <w:bCs w:val="0"/>
                <w:color w:val="auto"/>
                <w:sz w:val="24"/>
                <w:szCs w:val="24"/>
                <w:lang w:val="en-US" w:eastAsia="zh-CN"/>
              </w:rPr>
            </w:pPr>
            <w:r>
              <w:rPr>
                <w:rFonts w:hint="eastAsia" w:asciiTheme="minorHAnsi" w:eastAsiaTheme="minorEastAsia"/>
                <w:b w:val="0"/>
                <w:bCs w:val="0"/>
                <w:color w:val="auto"/>
                <w:sz w:val="24"/>
                <w:szCs w:val="24"/>
                <w:lang w:val="en-US" w:eastAsia="zh-CN"/>
              </w:rPr>
              <w:t>以科技创新推动企业快速成长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0" w:hRule="atLeast"/>
          <w:jc w:val="center"/>
        </w:trPr>
        <w:tc>
          <w:tcPr>
            <w:tcW w:w="1197" w:type="dxa"/>
            <w:vAlign w:val="center"/>
          </w:tcPr>
          <w:p>
            <w:pPr>
              <w:rPr>
                <w:rFonts w:hint="eastAsia" w:asciiTheme="minorHAnsi" w:eastAsiaTheme="minorEastAsia"/>
                <w:b w:val="0"/>
                <w:bCs w:val="0"/>
                <w:color w:val="auto"/>
                <w:sz w:val="24"/>
                <w:szCs w:val="24"/>
                <w:lang w:val="en-US" w:eastAsia="zh-CN"/>
              </w:rPr>
            </w:pPr>
            <w:r>
              <w:rPr>
                <w:rFonts w:hint="eastAsia" w:asciiTheme="minorHAnsi" w:eastAsiaTheme="minorEastAsia"/>
                <w:b w:val="0"/>
                <w:bCs w:val="0"/>
                <w:color w:val="auto"/>
                <w:sz w:val="24"/>
                <w:szCs w:val="24"/>
                <w:lang w:val="en-US" w:eastAsia="zh-CN"/>
              </w:rPr>
              <w:t>张云勇</w:t>
            </w:r>
          </w:p>
        </w:tc>
        <w:tc>
          <w:tcPr>
            <w:tcW w:w="2972" w:type="dxa"/>
            <w:vAlign w:val="center"/>
          </w:tcPr>
          <w:p>
            <w:pPr>
              <w:rPr>
                <w:rFonts w:hint="eastAsia" w:asciiTheme="minorHAnsi" w:eastAsiaTheme="minorEastAsia"/>
                <w:b w:val="0"/>
                <w:bCs w:val="0"/>
                <w:color w:val="auto"/>
                <w:sz w:val="24"/>
                <w:szCs w:val="24"/>
                <w:lang w:val="en-US" w:eastAsia="zh-CN"/>
              </w:rPr>
            </w:pPr>
            <w:r>
              <w:rPr>
                <w:rFonts w:hint="eastAsia" w:asciiTheme="minorHAnsi" w:eastAsiaTheme="minorEastAsia"/>
                <w:b w:val="0"/>
                <w:bCs w:val="0"/>
                <w:color w:val="auto"/>
                <w:sz w:val="24"/>
                <w:szCs w:val="24"/>
                <w:lang w:val="en-US" w:eastAsia="zh-CN"/>
              </w:rPr>
              <w:t>中国联通研究院院长</w:t>
            </w:r>
          </w:p>
        </w:tc>
        <w:tc>
          <w:tcPr>
            <w:tcW w:w="3512" w:type="dxa"/>
            <w:vAlign w:val="center"/>
          </w:tcPr>
          <w:p>
            <w:pPr>
              <w:rPr>
                <w:rFonts w:hint="eastAsia" w:asciiTheme="minorHAnsi" w:eastAsiaTheme="minorEastAsia"/>
                <w:b w:val="0"/>
                <w:bCs w:val="0"/>
                <w:color w:val="auto"/>
                <w:sz w:val="24"/>
                <w:szCs w:val="24"/>
                <w:lang w:val="en-US" w:eastAsia="zh-CN"/>
              </w:rPr>
            </w:pPr>
            <w:r>
              <w:rPr>
                <w:rFonts w:hint="eastAsia" w:asciiTheme="minorHAnsi" w:eastAsiaTheme="minorEastAsia"/>
                <w:b w:val="0"/>
                <w:bCs w:val="0"/>
                <w:color w:val="auto"/>
                <w:sz w:val="24"/>
                <w:szCs w:val="24"/>
                <w:lang w:val="en-US" w:eastAsia="zh-CN"/>
              </w:rPr>
              <w:t>5G推动数字经济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30" w:hRule="atLeast"/>
          <w:jc w:val="center"/>
        </w:trPr>
        <w:tc>
          <w:tcPr>
            <w:tcW w:w="1197" w:type="dxa"/>
            <w:vAlign w:val="center"/>
          </w:tcPr>
          <w:p>
            <w:pPr>
              <w:rPr>
                <w:rFonts w:hint="eastAsia" w:asciiTheme="minorHAnsi" w:eastAsiaTheme="minorEastAsia"/>
                <w:b w:val="0"/>
                <w:bCs w:val="0"/>
                <w:color w:val="auto"/>
                <w:sz w:val="24"/>
                <w:szCs w:val="24"/>
                <w:lang w:val="en-US" w:eastAsia="zh-CN"/>
              </w:rPr>
            </w:pPr>
            <w:r>
              <w:rPr>
                <w:rFonts w:hint="eastAsia" w:asciiTheme="minorHAnsi" w:eastAsiaTheme="minorEastAsia"/>
                <w:b w:val="0"/>
                <w:bCs w:val="0"/>
                <w:color w:val="auto"/>
                <w:sz w:val="24"/>
                <w:szCs w:val="24"/>
                <w:lang w:val="en-US" w:eastAsia="zh-CN"/>
              </w:rPr>
              <w:t>戴文渊</w:t>
            </w:r>
          </w:p>
        </w:tc>
        <w:tc>
          <w:tcPr>
            <w:tcW w:w="2972" w:type="dxa"/>
            <w:vAlign w:val="center"/>
          </w:tcPr>
          <w:p>
            <w:pPr>
              <w:rPr>
                <w:rFonts w:hint="eastAsia" w:asciiTheme="minorHAnsi" w:eastAsiaTheme="minorEastAsia"/>
                <w:b w:val="0"/>
                <w:bCs w:val="0"/>
                <w:color w:val="auto"/>
                <w:sz w:val="24"/>
                <w:szCs w:val="24"/>
                <w:lang w:val="en-US" w:eastAsia="zh-CN"/>
              </w:rPr>
            </w:pPr>
            <w:r>
              <w:rPr>
                <w:rFonts w:hint="eastAsia" w:asciiTheme="minorHAnsi" w:eastAsiaTheme="minorEastAsia"/>
                <w:b w:val="0"/>
                <w:bCs w:val="0"/>
                <w:color w:val="auto"/>
                <w:sz w:val="24"/>
                <w:szCs w:val="24"/>
                <w:lang w:val="en-US" w:eastAsia="zh-CN"/>
              </w:rPr>
              <w:t>第四范式（北京）技术有限公司创始人兼CEO</w:t>
            </w:r>
          </w:p>
        </w:tc>
        <w:tc>
          <w:tcPr>
            <w:tcW w:w="3512" w:type="dxa"/>
            <w:vAlign w:val="center"/>
          </w:tcPr>
          <w:p>
            <w:pPr>
              <w:rPr>
                <w:rFonts w:hint="eastAsia" w:asciiTheme="minorHAnsi" w:eastAsiaTheme="minorEastAsia"/>
                <w:b w:val="0"/>
                <w:bCs w:val="0"/>
                <w:color w:val="auto"/>
                <w:sz w:val="24"/>
                <w:szCs w:val="24"/>
                <w:lang w:val="en-US" w:eastAsia="zh-CN"/>
              </w:rPr>
            </w:pPr>
            <w:r>
              <w:rPr>
                <w:rFonts w:hint="eastAsia" w:asciiTheme="minorHAnsi" w:eastAsiaTheme="minorEastAsia"/>
                <w:b w:val="0"/>
                <w:bCs w:val="0"/>
                <w:color w:val="auto"/>
                <w:sz w:val="24"/>
                <w:szCs w:val="24"/>
                <w:lang w:val="en-US" w:eastAsia="zh-CN"/>
              </w:rPr>
              <w:t>产业变革的新范式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0" w:hRule="atLeast"/>
          <w:jc w:val="center"/>
        </w:trPr>
        <w:tc>
          <w:tcPr>
            <w:tcW w:w="1197" w:type="dxa"/>
            <w:vAlign w:val="center"/>
          </w:tcPr>
          <w:p>
            <w:pPr>
              <w:rPr>
                <w:rFonts w:hint="eastAsia" w:asciiTheme="minorHAnsi" w:eastAsiaTheme="minorEastAsia"/>
                <w:b w:val="0"/>
                <w:bCs w:val="0"/>
                <w:color w:val="auto"/>
                <w:sz w:val="24"/>
                <w:szCs w:val="24"/>
                <w:lang w:val="en-US" w:eastAsia="zh-CN"/>
              </w:rPr>
            </w:pPr>
            <w:r>
              <w:rPr>
                <w:rFonts w:hint="eastAsia" w:asciiTheme="minorHAnsi" w:eastAsiaTheme="minorEastAsia"/>
                <w:b w:val="0"/>
                <w:bCs w:val="0"/>
                <w:color w:val="auto"/>
                <w:sz w:val="24"/>
                <w:szCs w:val="24"/>
                <w:lang w:val="en-US" w:eastAsia="zh-CN"/>
              </w:rPr>
              <w:t>张果琲</w:t>
            </w:r>
          </w:p>
        </w:tc>
        <w:tc>
          <w:tcPr>
            <w:tcW w:w="2972" w:type="dxa"/>
            <w:vAlign w:val="center"/>
          </w:tcPr>
          <w:p>
            <w:pPr>
              <w:rPr>
                <w:rFonts w:hint="eastAsia" w:asciiTheme="minorHAnsi" w:eastAsiaTheme="minorEastAsia"/>
                <w:b w:val="0"/>
                <w:bCs w:val="0"/>
                <w:color w:val="auto"/>
                <w:sz w:val="24"/>
                <w:szCs w:val="24"/>
                <w:lang w:val="en-US" w:eastAsia="zh-CN"/>
              </w:rPr>
            </w:pPr>
            <w:r>
              <w:rPr>
                <w:rFonts w:hint="eastAsia" w:asciiTheme="minorHAnsi" w:eastAsiaTheme="minorEastAsia"/>
                <w:b w:val="0"/>
                <w:bCs w:val="0"/>
                <w:color w:val="auto"/>
                <w:sz w:val="24"/>
                <w:szCs w:val="24"/>
                <w:lang w:val="en-US" w:eastAsia="zh-CN"/>
              </w:rPr>
              <w:t>商汤科技智慧城市综合业务事业群副总裁</w:t>
            </w:r>
          </w:p>
        </w:tc>
        <w:tc>
          <w:tcPr>
            <w:tcW w:w="3512" w:type="dxa"/>
            <w:vAlign w:val="center"/>
          </w:tcPr>
          <w:p>
            <w:pPr>
              <w:rPr>
                <w:rFonts w:hint="eastAsia" w:asciiTheme="minorHAnsi" w:eastAsiaTheme="minorEastAsia"/>
                <w:b w:val="0"/>
                <w:bCs w:val="0"/>
                <w:color w:val="auto"/>
                <w:sz w:val="24"/>
                <w:szCs w:val="24"/>
                <w:lang w:val="en-US" w:eastAsia="zh-CN"/>
              </w:rPr>
            </w:pPr>
            <w:r>
              <w:rPr>
                <w:rFonts w:hint="eastAsia" w:asciiTheme="minorHAnsi" w:eastAsiaTheme="minorEastAsia"/>
                <w:b w:val="0"/>
                <w:bCs w:val="0"/>
                <w:color w:val="auto"/>
                <w:sz w:val="24"/>
                <w:szCs w:val="24"/>
                <w:lang w:val="en-US" w:eastAsia="zh-CN"/>
              </w:rPr>
              <w:t>视觉中枢助力构建数字城市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1197" w:type="dxa"/>
            <w:vAlign w:val="center"/>
          </w:tcPr>
          <w:p>
            <w:pPr>
              <w:rPr>
                <w:rFonts w:hint="eastAsia" w:asciiTheme="minorHAnsi" w:eastAsiaTheme="minorEastAsia"/>
                <w:b w:val="0"/>
                <w:bCs w:val="0"/>
                <w:color w:val="auto"/>
                <w:sz w:val="24"/>
                <w:szCs w:val="24"/>
                <w:lang w:val="en-US" w:eastAsia="zh-CN"/>
              </w:rPr>
            </w:pPr>
            <w:r>
              <w:rPr>
                <w:rFonts w:hint="eastAsia" w:asciiTheme="minorHAnsi" w:eastAsiaTheme="minorEastAsia"/>
                <w:b w:val="0"/>
                <w:bCs w:val="0"/>
                <w:color w:val="auto"/>
                <w:sz w:val="24"/>
                <w:szCs w:val="24"/>
                <w:lang w:val="en-US" w:eastAsia="zh-CN"/>
              </w:rPr>
              <w:t>康恒</w:t>
            </w:r>
          </w:p>
        </w:tc>
        <w:tc>
          <w:tcPr>
            <w:tcW w:w="2972" w:type="dxa"/>
            <w:vAlign w:val="center"/>
          </w:tcPr>
          <w:p>
            <w:pPr>
              <w:rPr>
                <w:rFonts w:hint="eastAsia" w:asciiTheme="minorHAnsi" w:eastAsiaTheme="minorEastAsia"/>
                <w:b w:val="0"/>
                <w:bCs w:val="0"/>
                <w:color w:val="auto"/>
                <w:sz w:val="24"/>
                <w:szCs w:val="24"/>
                <w:lang w:val="en-US" w:eastAsia="zh-CN"/>
              </w:rPr>
            </w:pPr>
            <w:r>
              <w:rPr>
                <w:rFonts w:hint="eastAsia" w:asciiTheme="minorHAnsi" w:eastAsiaTheme="minorEastAsia"/>
                <w:b w:val="0"/>
                <w:bCs w:val="0"/>
                <w:color w:val="auto"/>
                <w:sz w:val="24"/>
                <w:szCs w:val="24"/>
                <w:lang w:val="en-US" w:eastAsia="zh-CN"/>
              </w:rPr>
              <w:t>北京云知声信息技术有限公司联合创始人、副总裁</w:t>
            </w:r>
          </w:p>
        </w:tc>
        <w:tc>
          <w:tcPr>
            <w:tcW w:w="3512" w:type="dxa"/>
            <w:vAlign w:val="center"/>
          </w:tcPr>
          <w:p>
            <w:pPr>
              <w:rPr>
                <w:rFonts w:hint="eastAsia" w:asciiTheme="minorHAnsi" w:eastAsiaTheme="minorEastAsia"/>
                <w:b w:val="0"/>
                <w:bCs w:val="0"/>
                <w:color w:val="auto"/>
                <w:sz w:val="24"/>
                <w:szCs w:val="24"/>
                <w:lang w:val="en-US" w:eastAsia="zh-CN"/>
              </w:rPr>
            </w:pPr>
            <w:r>
              <w:rPr>
                <w:rFonts w:hint="eastAsia" w:asciiTheme="minorHAnsi" w:eastAsiaTheme="minorEastAsia"/>
                <w:b w:val="0"/>
                <w:bCs w:val="0"/>
                <w:color w:val="auto"/>
                <w:sz w:val="24"/>
                <w:szCs w:val="24"/>
                <w:lang w:val="en-US" w:eastAsia="zh-CN"/>
              </w:rPr>
              <w:t>智能+，从“芯”出发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1197" w:type="dxa"/>
            <w:vAlign w:val="center"/>
          </w:tcPr>
          <w:p>
            <w:pPr>
              <w:rPr>
                <w:rFonts w:hint="eastAsia" w:asciiTheme="minorHAnsi" w:eastAsiaTheme="minorEastAsia"/>
                <w:b w:val="0"/>
                <w:bCs w:val="0"/>
                <w:color w:val="auto"/>
                <w:sz w:val="24"/>
                <w:szCs w:val="24"/>
                <w:lang w:val="en-US" w:eastAsia="zh-CN"/>
              </w:rPr>
            </w:pPr>
            <w:r>
              <w:rPr>
                <w:rFonts w:hint="eastAsia" w:asciiTheme="minorHAnsi" w:eastAsiaTheme="minorEastAsia"/>
                <w:b w:val="0"/>
                <w:bCs w:val="0"/>
                <w:color w:val="auto"/>
                <w:sz w:val="24"/>
                <w:szCs w:val="24"/>
                <w:lang w:val="en-US" w:eastAsia="zh-CN"/>
              </w:rPr>
              <w:t>李建辉</w:t>
            </w:r>
          </w:p>
        </w:tc>
        <w:tc>
          <w:tcPr>
            <w:tcW w:w="2972" w:type="dxa"/>
            <w:vAlign w:val="center"/>
          </w:tcPr>
          <w:p>
            <w:pPr>
              <w:rPr>
                <w:rFonts w:hint="eastAsia" w:asciiTheme="minorHAnsi" w:eastAsiaTheme="minorEastAsia"/>
                <w:b w:val="0"/>
                <w:bCs w:val="0"/>
                <w:color w:val="auto"/>
                <w:sz w:val="24"/>
                <w:szCs w:val="24"/>
                <w:lang w:val="en-US" w:eastAsia="zh-CN"/>
              </w:rPr>
            </w:pPr>
            <w:r>
              <w:rPr>
                <w:rFonts w:hint="eastAsia" w:asciiTheme="minorHAnsi" w:eastAsiaTheme="minorEastAsia"/>
                <w:b w:val="0"/>
                <w:bCs w:val="0"/>
                <w:color w:val="auto"/>
                <w:sz w:val="24"/>
                <w:szCs w:val="24"/>
                <w:lang w:val="en-US" w:eastAsia="zh-CN"/>
              </w:rPr>
              <w:t>莆田市委副书记、市长</w:t>
            </w:r>
          </w:p>
        </w:tc>
        <w:tc>
          <w:tcPr>
            <w:tcW w:w="3512" w:type="dxa"/>
            <w:vAlign w:val="center"/>
          </w:tcPr>
          <w:p>
            <w:pPr>
              <w:rPr>
                <w:rFonts w:hint="eastAsia" w:asciiTheme="minorHAnsi" w:eastAsiaTheme="minorEastAsia"/>
                <w:b w:val="0"/>
                <w:bCs w:val="0"/>
                <w:color w:val="auto"/>
                <w:sz w:val="24"/>
                <w:szCs w:val="24"/>
                <w:lang w:val="en-US" w:eastAsia="zh-CN"/>
              </w:rPr>
            </w:pPr>
            <w:r>
              <w:rPr>
                <w:rFonts w:hint="eastAsia" w:asciiTheme="minorHAnsi" w:eastAsiaTheme="minorEastAsia"/>
                <w:b w:val="0"/>
                <w:bCs w:val="0"/>
                <w:color w:val="auto"/>
                <w:sz w:val="24"/>
                <w:szCs w:val="24"/>
                <w:lang w:val="en-US" w:eastAsia="zh-CN"/>
              </w:rPr>
              <w:t>立足产业优势，打造福建省平台经济示范区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1197" w:type="dxa"/>
            <w:vAlign w:val="center"/>
          </w:tcPr>
          <w:p>
            <w:pPr>
              <w:rPr>
                <w:rFonts w:hint="eastAsia" w:asciiTheme="minorHAnsi" w:eastAsiaTheme="minorEastAsia"/>
                <w:b w:val="0"/>
                <w:bCs w:val="0"/>
                <w:color w:val="auto"/>
                <w:sz w:val="24"/>
                <w:szCs w:val="24"/>
                <w:lang w:val="en-US" w:eastAsia="zh-CN"/>
              </w:rPr>
            </w:pPr>
            <w:r>
              <w:rPr>
                <w:rFonts w:hint="eastAsia" w:asciiTheme="minorHAnsi" w:eastAsiaTheme="minorEastAsia"/>
                <w:b w:val="0"/>
                <w:bCs w:val="0"/>
                <w:color w:val="auto"/>
                <w:sz w:val="24"/>
                <w:szCs w:val="24"/>
                <w:lang w:val="en-US" w:eastAsia="zh-CN"/>
              </w:rPr>
              <w:t>陈荣辉</w:t>
            </w:r>
          </w:p>
        </w:tc>
        <w:tc>
          <w:tcPr>
            <w:tcW w:w="2972" w:type="dxa"/>
            <w:vAlign w:val="center"/>
          </w:tcPr>
          <w:p>
            <w:pPr>
              <w:rPr>
                <w:rFonts w:hint="eastAsia" w:asciiTheme="minorHAnsi" w:eastAsiaTheme="minorEastAsia"/>
                <w:b w:val="0"/>
                <w:bCs w:val="0"/>
                <w:color w:val="auto"/>
                <w:sz w:val="24"/>
                <w:szCs w:val="24"/>
                <w:lang w:val="en-US" w:eastAsia="zh-CN"/>
              </w:rPr>
            </w:pPr>
            <w:r>
              <w:rPr>
                <w:rFonts w:hint="eastAsia" w:asciiTheme="minorHAnsi" w:eastAsiaTheme="minorEastAsia"/>
                <w:b w:val="0"/>
                <w:bCs w:val="0"/>
                <w:color w:val="auto"/>
                <w:sz w:val="24"/>
                <w:szCs w:val="24"/>
                <w:lang w:val="en-US" w:eastAsia="zh-CN"/>
              </w:rPr>
              <w:t>福建省数字办主任、大数据管理局局长</w:t>
            </w:r>
          </w:p>
        </w:tc>
        <w:tc>
          <w:tcPr>
            <w:tcW w:w="3512" w:type="dxa"/>
            <w:vAlign w:val="center"/>
          </w:tcPr>
          <w:p>
            <w:pPr>
              <w:rPr>
                <w:rFonts w:hint="eastAsia" w:asciiTheme="minorHAnsi" w:eastAsiaTheme="minorEastAsia"/>
                <w:b w:val="0"/>
                <w:bCs w:val="0"/>
                <w:color w:val="auto"/>
                <w:sz w:val="24"/>
                <w:szCs w:val="24"/>
                <w:lang w:val="en-US" w:eastAsia="zh-CN"/>
              </w:rPr>
            </w:pPr>
            <w:r>
              <w:rPr>
                <w:rFonts w:hint="eastAsia" w:asciiTheme="minorHAnsi" w:eastAsiaTheme="minorEastAsia"/>
                <w:b w:val="0"/>
                <w:bCs w:val="0"/>
                <w:color w:val="auto"/>
                <w:sz w:val="24"/>
                <w:szCs w:val="24"/>
                <w:lang w:val="en-US" w:eastAsia="zh-CN"/>
              </w:rPr>
              <w:t>发布人工智能“百项应用场景”</w:t>
            </w:r>
          </w:p>
        </w:tc>
      </w:tr>
    </w:tbl>
    <w:p>
      <w:pPr>
        <w:jc w:val="center"/>
        <w:rPr>
          <w:rFonts w:hint="eastAsia" w:asciiTheme="minorHAnsi" w:eastAsiaTheme="minorEastAsia"/>
          <w:b w:val="0"/>
          <w:bCs w:val="0"/>
          <w:color w:val="auto"/>
          <w:sz w:val="28"/>
          <w:szCs w:val="28"/>
          <w:lang w:val="en-US" w:eastAsia="zh-CN"/>
        </w:rPr>
      </w:pPr>
    </w:p>
    <w:p>
      <w:pPr>
        <w:jc w:val="center"/>
        <w:rPr>
          <w:rFonts w:hint="eastAsia" w:asciiTheme="minorHAnsi" w:eastAsiaTheme="minorEastAsia"/>
          <w:b w:val="0"/>
          <w:bCs w:val="0"/>
          <w:color w:val="auto"/>
          <w:sz w:val="28"/>
          <w:szCs w:val="28"/>
          <w:lang w:val="en-US" w:eastAsia="zh-CN"/>
        </w:rPr>
      </w:pPr>
      <w:r>
        <w:rPr>
          <w:rFonts w:hint="eastAsia" w:asciiTheme="minorHAnsi" w:eastAsiaTheme="minorEastAsia"/>
          <w:b w:val="0"/>
          <w:bCs w:val="0"/>
          <w:color w:val="auto"/>
          <w:sz w:val="28"/>
          <w:szCs w:val="28"/>
          <w:lang w:val="en-US" w:eastAsia="zh-CN"/>
        </w:rPr>
        <w:t>议题：（三）高峰对话</w:t>
      </w:r>
    </w:p>
    <w:p>
      <w:pPr>
        <w:jc w:val="center"/>
        <w:rPr>
          <w:rFonts w:hint="eastAsia" w:asciiTheme="minorHAnsi" w:eastAsiaTheme="minorEastAsia"/>
          <w:b w:val="0"/>
          <w:bCs w:val="0"/>
          <w:color w:val="auto"/>
          <w:sz w:val="28"/>
          <w:szCs w:val="28"/>
          <w:lang w:val="en-US" w:eastAsia="zh-CN"/>
        </w:rPr>
      </w:pPr>
      <w:r>
        <w:rPr>
          <w:rFonts w:hint="eastAsia" w:asciiTheme="minorHAnsi" w:eastAsiaTheme="minorEastAsia"/>
          <w:b w:val="0"/>
          <w:bCs w:val="0"/>
          <w:color w:val="auto"/>
          <w:sz w:val="28"/>
          <w:szCs w:val="28"/>
          <w:lang w:val="en-US" w:eastAsia="zh-CN"/>
        </w:rPr>
        <w:t>主持人：数字中国研究院（福建）执行院长 何昌垂</w:t>
      </w:r>
    </w:p>
    <w:tbl>
      <w:tblPr>
        <w:tblStyle w:val="12"/>
        <w:tblW w:w="759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88"/>
        <w:gridCol w:w="3050"/>
        <w:gridCol w:w="27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788" w:type="dxa"/>
            <w:shd w:val="clear" w:color="auto" w:fill="A5A5A5" w:themeFill="background1" w:themeFillShade="A6"/>
          </w:tcPr>
          <w:p>
            <w:pPr>
              <w:rPr>
                <w:rFonts w:hint="eastAsia" w:asciiTheme="minorHAnsi" w:eastAsiaTheme="minorEastAsia"/>
                <w:b w:val="0"/>
                <w:bCs w:val="0"/>
                <w:color w:val="auto"/>
                <w:sz w:val="24"/>
                <w:szCs w:val="24"/>
                <w:lang w:val="en-US" w:eastAsia="zh-CN"/>
              </w:rPr>
            </w:pPr>
            <w:r>
              <w:rPr>
                <w:rFonts w:hint="eastAsia" w:asciiTheme="minorHAnsi" w:eastAsiaTheme="minorEastAsia"/>
                <w:b w:val="0"/>
                <w:bCs w:val="0"/>
                <w:color w:val="auto"/>
                <w:sz w:val="24"/>
                <w:szCs w:val="24"/>
                <w:lang w:val="en-US" w:eastAsia="zh-CN"/>
              </w:rPr>
              <w:t>嘉宾</w:t>
            </w:r>
          </w:p>
        </w:tc>
        <w:tc>
          <w:tcPr>
            <w:tcW w:w="3050" w:type="dxa"/>
            <w:shd w:val="clear" w:color="auto" w:fill="A5A5A5" w:themeFill="background1" w:themeFillShade="A6"/>
          </w:tcPr>
          <w:p>
            <w:pPr>
              <w:rPr>
                <w:rFonts w:hint="eastAsia" w:asciiTheme="minorHAnsi" w:eastAsiaTheme="minorEastAsia"/>
                <w:b w:val="0"/>
                <w:bCs w:val="0"/>
                <w:color w:val="auto"/>
                <w:sz w:val="24"/>
                <w:szCs w:val="24"/>
                <w:lang w:val="en-US" w:eastAsia="zh-CN"/>
              </w:rPr>
            </w:pPr>
            <w:r>
              <w:rPr>
                <w:rFonts w:hint="eastAsia" w:asciiTheme="minorHAnsi" w:eastAsiaTheme="minorEastAsia"/>
                <w:b w:val="0"/>
                <w:bCs w:val="0"/>
                <w:color w:val="auto"/>
                <w:sz w:val="24"/>
                <w:szCs w:val="24"/>
                <w:lang w:val="en-US" w:eastAsia="zh-CN"/>
              </w:rPr>
              <w:t>职务</w:t>
            </w:r>
          </w:p>
        </w:tc>
        <w:tc>
          <w:tcPr>
            <w:tcW w:w="2761" w:type="dxa"/>
            <w:shd w:val="clear" w:color="auto" w:fill="A5A5A5" w:themeFill="background1" w:themeFillShade="A6"/>
          </w:tcPr>
          <w:p>
            <w:pPr>
              <w:rPr>
                <w:rFonts w:hint="eastAsia" w:asciiTheme="minorHAnsi" w:eastAsiaTheme="minorEastAsia"/>
                <w:b w:val="0"/>
                <w:bCs w:val="0"/>
                <w:color w:val="auto"/>
                <w:sz w:val="24"/>
                <w:szCs w:val="24"/>
                <w:lang w:val="en-US" w:eastAsia="zh-CN"/>
              </w:rPr>
            </w:pPr>
            <w:r>
              <w:rPr>
                <w:rFonts w:hint="eastAsia" w:asciiTheme="minorHAnsi" w:eastAsiaTheme="minorEastAsia"/>
                <w:b w:val="0"/>
                <w:bCs w:val="0"/>
                <w:color w:val="auto"/>
                <w:sz w:val="24"/>
                <w:szCs w:val="24"/>
                <w:lang w:val="en-US" w:eastAsia="zh-CN"/>
              </w:rPr>
              <w:t>活动题目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0" w:hRule="atLeast"/>
          <w:jc w:val="center"/>
        </w:trPr>
        <w:tc>
          <w:tcPr>
            <w:tcW w:w="1788" w:type="dxa"/>
            <w:vAlign w:val="center"/>
          </w:tcPr>
          <w:p>
            <w:pPr>
              <w:rPr>
                <w:rFonts w:hint="eastAsia" w:asciiTheme="minorHAnsi" w:eastAsiaTheme="minorEastAsia"/>
                <w:b w:val="0"/>
                <w:bCs w:val="0"/>
                <w:color w:val="auto"/>
                <w:sz w:val="24"/>
                <w:szCs w:val="24"/>
                <w:lang w:val="en-US" w:eastAsia="zh-CN"/>
              </w:rPr>
            </w:pPr>
            <w:r>
              <w:rPr>
                <w:rFonts w:hint="eastAsia" w:asciiTheme="minorHAnsi" w:eastAsiaTheme="minorEastAsia"/>
                <w:b w:val="0"/>
                <w:bCs w:val="0"/>
                <w:color w:val="auto"/>
                <w:sz w:val="24"/>
                <w:szCs w:val="24"/>
                <w:lang w:val="en-US" w:eastAsia="zh-CN"/>
              </w:rPr>
              <w:t>徐冠华</w:t>
            </w:r>
          </w:p>
        </w:tc>
        <w:tc>
          <w:tcPr>
            <w:tcW w:w="3050" w:type="dxa"/>
            <w:vAlign w:val="center"/>
          </w:tcPr>
          <w:p>
            <w:pPr>
              <w:rPr>
                <w:rFonts w:hint="eastAsia" w:asciiTheme="minorHAnsi" w:eastAsiaTheme="minorEastAsia"/>
                <w:b w:val="0"/>
                <w:bCs w:val="0"/>
                <w:color w:val="auto"/>
                <w:sz w:val="24"/>
                <w:szCs w:val="24"/>
                <w:lang w:val="en-US" w:eastAsia="zh-CN"/>
              </w:rPr>
            </w:pPr>
            <w:r>
              <w:rPr>
                <w:rFonts w:hint="eastAsia" w:asciiTheme="minorHAnsi" w:eastAsiaTheme="minorEastAsia"/>
                <w:b w:val="0"/>
                <w:bCs w:val="0"/>
                <w:color w:val="auto"/>
                <w:sz w:val="24"/>
                <w:szCs w:val="24"/>
                <w:lang w:val="en-US" w:eastAsia="zh-CN"/>
              </w:rPr>
              <w:t>科技部原部长、中国科学院院士、数字中国研究院（福建）名誉院长</w:t>
            </w:r>
          </w:p>
        </w:tc>
        <w:tc>
          <w:tcPr>
            <w:tcW w:w="2761" w:type="dxa"/>
            <w:vMerge w:val="restart"/>
            <w:vAlign w:val="center"/>
          </w:tcPr>
          <w:p>
            <w:pPr>
              <w:rPr>
                <w:rFonts w:hint="eastAsia" w:asciiTheme="minorHAnsi" w:eastAsiaTheme="minorEastAsia"/>
                <w:b w:val="0"/>
                <w:bCs w:val="0"/>
                <w:color w:val="auto"/>
                <w:sz w:val="24"/>
                <w:szCs w:val="24"/>
                <w:lang w:val="en-US" w:eastAsia="zh-CN"/>
              </w:rPr>
            </w:pPr>
            <w:r>
              <w:rPr>
                <w:rFonts w:hint="eastAsia" w:asciiTheme="minorHAnsi" w:eastAsiaTheme="minorEastAsia"/>
                <w:b w:val="0"/>
                <w:bCs w:val="0"/>
                <w:color w:val="auto"/>
                <w:sz w:val="24"/>
                <w:szCs w:val="24"/>
                <w:lang w:val="en-US" w:eastAsia="zh-CN"/>
              </w:rPr>
              <w:t>在数字中国建设的新形势下，如何在更高起点上推动新一轮数字福建建设，开创新时代数字福建新局面；高峰对话主要聚焦数据挖掘与应用的核心技术、发展潜力、战略方向以及政策举措等。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0" w:hRule="atLeast"/>
          <w:jc w:val="center"/>
        </w:trPr>
        <w:tc>
          <w:tcPr>
            <w:tcW w:w="1788" w:type="dxa"/>
            <w:vAlign w:val="center"/>
          </w:tcPr>
          <w:p>
            <w:pPr>
              <w:rPr>
                <w:rFonts w:hint="eastAsia" w:asciiTheme="minorHAnsi" w:eastAsiaTheme="minorEastAsia"/>
                <w:b w:val="0"/>
                <w:bCs w:val="0"/>
                <w:color w:val="auto"/>
                <w:sz w:val="24"/>
                <w:szCs w:val="24"/>
                <w:lang w:val="en-US" w:eastAsia="zh-CN"/>
              </w:rPr>
            </w:pPr>
            <w:r>
              <w:rPr>
                <w:rFonts w:hint="eastAsia" w:asciiTheme="minorHAnsi" w:eastAsiaTheme="minorEastAsia"/>
                <w:b w:val="0"/>
                <w:bCs w:val="0"/>
                <w:color w:val="auto"/>
                <w:sz w:val="24"/>
                <w:szCs w:val="24"/>
                <w:lang w:val="en-US" w:eastAsia="zh-CN"/>
              </w:rPr>
              <w:t>吴一戎</w:t>
            </w:r>
          </w:p>
        </w:tc>
        <w:tc>
          <w:tcPr>
            <w:tcW w:w="3050" w:type="dxa"/>
            <w:vAlign w:val="center"/>
          </w:tcPr>
          <w:p>
            <w:pPr>
              <w:rPr>
                <w:rFonts w:hint="eastAsia" w:asciiTheme="minorHAnsi" w:eastAsiaTheme="minorEastAsia"/>
                <w:b w:val="0"/>
                <w:bCs w:val="0"/>
                <w:color w:val="auto"/>
                <w:sz w:val="24"/>
                <w:szCs w:val="24"/>
                <w:lang w:val="en-US" w:eastAsia="zh-CN"/>
              </w:rPr>
            </w:pPr>
            <w:r>
              <w:rPr>
                <w:rFonts w:hint="eastAsia" w:asciiTheme="minorHAnsi" w:eastAsiaTheme="minorEastAsia"/>
                <w:b w:val="0"/>
                <w:bCs w:val="0"/>
                <w:color w:val="auto"/>
                <w:sz w:val="24"/>
                <w:szCs w:val="24"/>
                <w:lang w:val="en-US" w:eastAsia="zh-CN"/>
              </w:rPr>
              <w:t>中国科学院院士、中国科学院空天信息研究院院长</w:t>
            </w:r>
          </w:p>
        </w:tc>
        <w:tc>
          <w:tcPr>
            <w:tcW w:w="2761" w:type="dxa"/>
            <w:vMerge w:val="continue"/>
            <w:vAlign w:val="center"/>
          </w:tcPr>
          <w:p>
            <w:pPr>
              <w:rPr>
                <w:rFonts w:hint="eastAsia" w:asciiTheme="minorHAnsi" w:eastAsiaTheme="minorEastAsia"/>
                <w:b w:val="0"/>
                <w:bCs w:val="0"/>
                <w:color w:val="auto"/>
                <w:sz w:val="24"/>
                <w:szCs w:val="24"/>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0" w:hRule="atLeast"/>
          <w:jc w:val="center"/>
        </w:trPr>
        <w:tc>
          <w:tcPr>
            <w:tcW w:w="1788" w:type="dxa"/>
            <w:vAlign w:val="center"/>
          </w:tcPr>
          <w:p>
            <w:pPr>
              <w:rPr>
                <w:rFonts w:hint="eastAsia" w:asciiTheme="minorHAnsi" w:eastAsiaTheme="minorEastAsia"/>
                <w:b w:val="0"/>
                <w:bCs w:val="0"/>
                <w:color w:val="auto"/>
                <w:sz w:val="24"/>
                <w:szCs w:val="24"/>
                <w:lang w:val="en-US" w:eastAsia="zh-CN"/>
              </w:rPr>
            </w:pPr>
            <w:r>
              <w:rPr>
                <w:rFonts w:hint="eastAsia" w:asciiTheme="minorHAnsi" w:eastAsiaTheme="minorEastAsia"/>
                <w:b w:val="0"/>
                <w:bCs w:val="0"/>
                <w:color w:val="auto"/>
                <w:sz w:val="24"/>
                <w:szCs w:val="24"/>
                <w:lang w:val="en-US" w:eastAsia="zh-CN"/>
              </w:rPr>
              <w:t>林惠民</w:t>
            </w:r>
          </w:p>
        </w:tc>
        <w:tc>
          <w:tcPr>
            <w:tcW w:w="3050" w:type="dxa"/>
            <w:vAlign w:val="center"/>
          </w:tcPr>
          <w:p>
            <w:pPr>
              <w:rPr>
                <w:rFonts w:hint="eastAsia" w:asciiTheme="minorHAnsi" w:eastAsiaTheme="minorEastAsia"/>
                <w:b w:val="0"/>
                <w:bCs w:val="0"/>
                <w:color w:val="auto"/>
                <w:sz w:val="24"/>
                <w:szCs w:val="24"/>
                <w:lang w:val="en-US" w:eastAsia="zh-CN"/>
              </w:rPr>
            </w:pPr>
            <w:r>
              <w:rPr>
                <w:rFonts w:hint="eastAsia" w:asciiTheme="minorHAnsi" w:eastAsiaTheme="minorEastAsia"/>
                <w:b w:val="0"/>
                <w:bCs w:val="0"/>
                <w:color w:val="auto"/>
                <w:sz w:val="24"/>
                <w:szCs w:val="24"/>
                <w:lang w:val="en-US" w:eastAsia="zh-CN"/>
              </w:rPr>
              <w:t>中国科学院院士、中国科学院计算所研究员</w:t>
            </w:r>
          </w:p>
        </w:tc>
        <w:tc>
          <w:tcPr>
            <w:tcW w:w="2761" w:type="dxa"/>
            <w:vMerge w:val="continue"/>
            <w:vAlign w:val="center"/>
          </w:tcPr>
          <w:p>
            <w:pPr>
              <w:rPr>
                <w:rFonts w:hint="eastAsia" w:asciiTheme="minorHAnsi" w:eastAsiaTheme="minorEastAsia"/>
                <w:b w:val="0"/>
                <w:bCs w:val="0"/>
                <w:color w:val="auto"/>
                <w:sz w:val="24"/>
                <w:szCs w:val="24"/>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0" w:hRule="atLeast"/>
          <w:jc w:val="center"/>
        </w:trPr>
        <w:tc>
          <w:tcPr>
            <w:tcW w:w="1788" w:type="dxa"/>
            <w:vAlign w:val="center"/>
          </w:tcPr>
          <w:p>
            <w:pPr>
              <w:rPr>
                <w:rFonts w:hint="eastAsia" w:asciiTheme="minorHAnsi" w:eastAsiaTheme="minorEastAsia"/>
                <w:b w:val="0"/>
                <w:bCs w:val="0"/>
                <w:color w:val="auto"/>
                <w:sz w:val="24"/>
                <w:szCs w:val="24"/>
                <w:lang w:val="en-US" w:eastAsia="zh-CN"/>
              </w:rPr>
            </w:pPr>
            <w:r>
              <w:rPr>
                <w:rFonts w:hint="eastAsia" w:asciiTheme="minorHAnsi" w:eastAsiaTheme="minorEastAsia"/>
                <w:b w:val="0"/>
                <w:bCs w:val="0"/>
                <w:color w:val="auto"/>
                <w:sz w:val="24"/>
                <w:szCs w:val="24"/>
                <w:lang w:val="en-US" w:eastAsia="zh-CN"/>
              </w:rPr>
              <w:t>陈涛</w:t>
            </w:r>
          </w:p>
        </w:tc>
        <w:tc>
          <w:tcPr>
            <w:tcW w:w="3050" w:type="dxa"/>
            <w:vAlign w:val="center"/>
          </w:tcPr>
          <w:p>
            <w:pPr>
              <w:rPr>
                <w:rFonts w:hint="eastAsia" w:asciiTheme="minorHAnsi" w:eastAsiaTheme="minorEastAsia"/>
                <w:b w:val="0"/>
                <w:bCs w:val="0"/>
                <w:color w:val="auto"/>
                <w:sz w:val="24"/>
                <w:szCs w:val="24"/>
                <w:lang w:val="en-US" w:eastAsia="zh-CN"/>
              </w:rPr>
            </w:pPr>
            <w:r>
              <w:rPr>
                <w:rFonts w:hint="eastAsia" w:asciiTheme="minorHAnsi" w:eastAsiaTheme="minorEastAsia"/>
                <w:b w:val="0"/>
                <w:bCs w:val="0"/>
                <w:color w:val="auto"/>
                <w:sz w:val="24"/>
                <w:szCs w:val="24"/>
                <w:lang w:val="en-US" w:eastAsia="zh-CN"/>
              </w:rPr>
              <w:t>科大讯飞轮值总裁</w:t>
            </w:r>
          </w:p>
        </w:tc>
        <w:tc>
          <w:tcPr>
            <w:tcW w:w="2761" w:type="dxa"/>
            <w:vMerge w:val="continue"/>
            <w:vAlign w:val="center"/>
          </w:tcPr>
          <w:p>
            <w:pPr>
              <w:rPr>
                <w:rFonts w:hint="eastAsia" w:asciiTheme="minorHAnsi" w:eastAsiaTheme="minorEastAsia"/>
                <w:b w:val="0"/>
                <w:bCs w:val="0"/>
                <w:color w:val="auto"/>
                <w:sz w:val="24"/>
                <w:szCs w:val="24"/>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0" w:hRule="atLeast"/>
          <w:jc w:val="center"/>
        </w:trPr>
        <w:tc>
          <w:tcPr>
            <w:tcW w:w="1788" w:type="dxa"/>
            <w:vAlign w:val="center"/>
          </w:tcPr>
          <w:p>
            <w:pPr>
              <w:rPr>
                <w:rFonts w:hint="eastAsia" w:asciiTheme="minorHAnsi" w:eastAsiaTheme="minorEastAsia"/>
                <w:b w:val="0"/>
                <w:bCs w:val="0"/>
                <w:color w:val="auto"/>
                <w:sz w:val="24"/>
                <w:szCs w:val="24"/>
                <w:lang w:val="en-US" w:eastAsia="zh-CN"/>
              </w:rPr>
            </w:pPr>
            <w:bookmarkStart w:id="27" w:name="_Toc9338589"/>
            <w:r>
              <w:rPr>
                <w:rFonts w:hint="eastAsia" w:asciiTheme="minorHAnsi" w:eastAsiaTheme="minorEastAsia"/>
                <w:b w:val="0"/>
                <w:bCs w:val="0"/>
                <w:color w:val="auto"/>
                <w:sz w:val="24"/>
                <w:szCs w:val="24"/>
                <w:lang w:val="en-US" w:eastAsia="zh-CN"/>
              </w:rPr>
              <w:t>朱永涛</w:t>
            </w:r>
            <w:bookmarkEnd w:id="27"/>
          </w:p>
        </w:tc>
        <w:tc>
          <w:tcPr>
            <w:tcW w:w="3050" w:type="dxa"/>
            <w:vAlign w:val="center"/>
          </w:tcPr>
          <w:p>
            <w:pPr>
              <w:rPr>
                <w:rFonts w:hint="eastAsia" w:asciiTheme="minorHAnsi" w:eastAsiaTheme="minorEastAsia"/>
                <w:b w:val="0"/>
                <w:bCs w:val="0"/>
                <w:color w:val="auto"/>
                <w:sz w:val="24"/>
                <w:szCs w:val="24"/>
                <w:lang w:val="en-US" w:eastAsia="zh-CN"/>
              </w:rPr>
            </w:pPr>
            <w:r>
              <w:rPr>
                <w:rFonts w:hint="eastAsia" w:asciiTheme="minorHAnsi" w:eastAsiaTheme="minorEastAsia"/>
                <w:b w:val="0"/>
                <w:bCs w:val="0"/>
                <w:color w:val="auto"/>
                <w:sz w:val="24"/>
                <w:szCs w:val="24"/>
                <w:lang w:val="en-US" w:eastAsia="zh-CN"/>
              </w:rPr>
              <w:t>中兴通讯高级副总裁</w:t>
            </w:r>
          </w:p>
        </w:tc>
        <w:tc>
          <w:tcPr>
            <w:tcW w:w="2761" w:type="dxa"/>
            <w:vMerge w:val="continue"/>
            <w:vAlign w:val="center"/>
          </w:tcPr>
          <w:p>
            <w:pPr>
              <w:rPr>
                <w:rFonts w:hint="eastAsia" w:asciiTheme="minorHAnsi" w:eastAsiaTheme="minorEastAsia"/>
                <w:b w:val="0"/>
                <w:bCs w:val="0"/>
                <w:color w:val="auto"/>
                <w:sz w:val="24"/>
                <w:szCs w:val="24"/>
                <w:lang w:val="en-US" w:eastAsia="zh-CN"/>
              </w:rPr>
            </w:pPr>
          </w:p>
        </w:tc>
      </w:tr>
    </w:tbl>
    <w:p>
      <w:pPr>
        <w:jc w:val="both"/>
        <w:rPr>
          <w:rFonts w:hint="eastAsia" w:asciiTheme="minorHAnsi" w:eastAsiaTheme="minorEastAsia"/>
          <w:b/>
          <w:bCs/>
          <w:color w:val="auto"/>
          <w:sz w:val="32"/>
          <w:szCs w:val="32"/>
          <w:lang w:val="en-US" w:eastAsia="zh-CN"/>
        </w:rPr>
      </w:pPr>
      <w:bookmarkStart w:id="28" w:name="_Toc9338591"/>
    </w:p>
    <w:p>
      <w:pPr>
        <w:jc w:val="center"/>
        <w:outlineLvl w:val="1"/>
        <w:rPr>
          <w:rFonts w:hint="eastAsia" w:asciiTheme="minorHAnsi" w:eastAsiaTheme="minorEastAsia"/>
          <w:b/>
          <w:bCs/>
          <w:color w:val="auto"/>
          <w:sz w:val="32"/>
          <w:szCs w:val="32"/>
          <w:lang w:val="en-US" w:eastAsia="zh-CN"/>
        </w:rPr>
      </w:pPr>
      <w:bookmarkStart w:id="29" w:name="_Toc1077"/>
      <w:bookmarkStart w:id="30" w:name="_Toc24690"/>
      <w:r>
        <w:rPr>
          <w:rFonts w:hint="eastAsia" w:asciiTheme="minorHAnsi" w:eastAsiaTheme="minorEastAsia"/>
          <w:b/>
          <w:bCs/>
          <w:color w:val="auto"/>
          <w:sz w:val="32"/>
          <w:szCs w:val="32"/>
          <w:lang w:val="en-US" w:eastAsia="zh-CN"/>
        </w:rPr>
        <w:t>＂数字福建＂信息应用服务基础设施建设</w:t>
      </w:r>
      <w:bookmarkEnd w:id="28"/>
      <w:bookmarkEnd w:id="29"/>
      <w:bookmarkEnd w:id="30"/>
    </w:p>
    <w:p>
      <w:pPr>
        <w:jc w:val="center"/>
        <w:rPr>
          <w:rFonts w:hint="eastAsia" w:asciiTheme="minorHAnsi" w:eastAsiaTheme="minorEastAsia"/>
          <w:b w:val="0"/>
          <w:bCs w:val="0"/>
          <w:color w:val="auto"/>
          <w:sz w:val="32"/>
          <w:szCs w:val="32"/>
          <w:lang w:val="en-US" w:eastAsia="zh-CN"/>
        </w:rPr>
      </w:pPr>
      <w:r>
        <w:rPr>
          <w:rFonts w:hint="eastAsia" w:asciiTheme="minorHAnsi" w:eastAsiaTheme="minorEastAsia"/>
          <w:b w:val="0"/>
          <w:bCs w:val="0"/>
          <w:color w:val="auto"/>
          <w:sz w:val="32"/>
          <w:szCs w:val="32"/>
          <w:lang w:val="en-US" w:eastAsia="zh-CN"/>
        </w:rPr>
        <w:t>（十二届全国政协副主席、国家电子政务专家委员会主任</w:t>
      </w:r>
      <w:r>
        <w:rPr>
          <w:rFonts w:hint="eastAsia" w:asciiTheme="minorHAnsi" w:hAnsiTheme="minorHAnsi" w:eastAsiaTheme="minorEastAsia" w:cstheme="minorBidi"/>
          <w:b w:val="0"/>
          <w:bCs w:val="0"/>
          <w:color w:val="auto"/>
          <w:sz w:val="32"/>
          <w:szCs w:val="32"/>
          <w:lang w:val="en-US"/>
        </w:rPr>
        <w:t>、</w:t>
      </w:r>
      <w:r>
        <w:rPr>
          <w:rFonts w:hint="eastAsia" w:asciiTheme="minorHAnsi" w:hAnsiTheme="minorHAnsi" w:eastAsiaTheme="minorEastAsia" w:cstheme="minorBidi"/>
          <w:b w:val="0"/>
          <w:color w:val="auto"/>
          <w:kern w:val="2"/>
          <w:sz w:val="32"/>
          <w:szCs w:val="32"/>
          <w:lang w:val="en-US"/>
        </w:rPr>
        <w:t>数字福建专家委员会主任</w:t>
      </w:r>
      <w:r>
        <w:rPr>
          <w:rFonts w:hint="eastAsia" w:asciiTheme="minorHAnsi" w:eastAsiaTheme="minorEastAsia"/>
          <w:b w:val="0"/>
          <w:bCs w:val="0"/>
          <w:color w:val="auto"/>
          <w:sz w:val="32"/>
          <w:szCs w:val="32"/>
          <w:lang w:val="en-US" w:eastAsia="zh-CN"/>
        </w:rPr>
        <w:t xml:space="preserve"> 王钦敏）</w:t>
      </w:r>
    </w:p>
    <w:p>
      <w:pPr>
        <w:jc w:val="center"/>
        <w:rPr>
          <w:rFonts w:hint="eastAsia" w:asciiTheme="minorHAnsi" w:eastAsiaTheme="minorEastAsia"/>
          <w:b w:val="0"/>
          <w:bCs w:val="0"/>
          <w:color w:val="auto"/>
          <w:sz w:val="32"/>
          <w:szCs w:val="32"/>
          <w:lang w:val="en-US" w:eastAsia="zh-CN"/>
        </w:rPr>
      </w:pPr>
      <w:r>
        <w:rPr>
          <w:rFonts w:hint="eastAsia" w:asciiTheme="minorHAnsi" w:eastAsiaTheme="minorEastAsia"/>
          <w:b w:val="0"/>
          <w:bCs w:val="0"/>
          <w:color w:val="auto"/>
          <w:sz w:val="32"/>
          <w:szCs w:val="32"/>
          <w:lang w:val="en-US" w:eastAsia="zh-CN"/>
        </w:rPr>
        <w:drawing>
          <wp:inline distT="0" distB="0" distL="0" distR="0">
            <wp:extent cx="5703570" cy="3797300"/>
            <wp:effectExtent l="0" t="0" r="11430" b="1270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703570" cy="3797300"/>
                    </a:xfrm>
                    <a:prstGeom prst="rect">
                      <a:avLst/>
                    </a:prstGeom>
                    <a:noFill/>
                    <a:ln>
                      <a:noFill/>
                    </a:ln>
                  </pic:spPr>
                </pic:pic>
              </a:graphicData>
            </a:graphic>
          </wp:inline>
        </w:drawing>
      </w:r>
    </w:p>
    <w:p>
      <w:pPr>
        <w:pStyle w:val="6"/>
        <w:spacing w:line="348" w:lineRule="auto"/>
        <w:ind w:right="165" w:firstLine="560" w:firstLineChars="200"/>
        <w:rPr>
          <w:rFonts w:hint="eastAsia" w:ascii="宋体" w:hAnsi="宋体" w:eastAsia="宋体" w:cs="宋体"/>
          <w:lang w:val="en-US" w:eastAsia="zh-CN"/>
        </w:rPr>
      </w:pPr>
      <w:bookmarkStart w:id="31" w:name="_Toc9338592"/>
      <w:r>
        <w:rPr>
          <w:rFonts w:hint="eastAsia" w:ascii="宋体" w:hAnsi="宋体" w:eastAsia="宋体" w:cs="宋体"/>
          <w:lang w:val="en-US" w:eastAsia="zh-CN"/>
        </w:rPr>
        <w:t>尊敬的各位来宾，女士们、先生们，</w:t>
      </w:r>
    </w:p>
    <w:p>
      <w:pPr>
        <w:pStyle w:val="6"/>
        <w:spacing w:line="348" w:lineRule="auto"/>
        <w:ind w:right="165" w:firstLine="560" w:firstLineChars="200"/>
        <w:rPr>
          <w:rFonts w:hint="eastAsia" w:ascii="宋体" w:hAnsi="宋体" w:eastAsia="宋体" w:cs="宋体"/>
          <w:lang w:val="en-US" w:eastAsia="zh-CN"/>
        </w:rPr>
      </w:pPr>
      <w:r>
        <w:rPr>
          <w:rFonts w:hint="eastAsia" w:ascii="宋体" w:hAnsi="宋体" w:eastAsia="宋体" w:cs="宋体"/>
          <w:lang w:val="en-US" w:eastAsia="zh-CN"/>
        </w:rPr>
        <w:t>今天就以数字福建、信息应用服务基础设施建设作为主题给大家介绍一下。现在大家已经公认了，数据资源是要素资源，要素资源怎么开发利用？要素资源怎么用，这是一个关键问题。这个数据资源，到底数据在哪里，大家都做大数据，数据在哪里？数据的标准是什么？怎么使这个数据变成有价值的数据？怎么开发利用？我今天讲的就是这些关键点。</w:t>
      </w:r>
    </w:p>
    <w:p>
      <w:pPr>
        <w:pStyle w:val="6"/>
        <w:spacing w:line="348" w:lineRule="auto"/>
        <w:ind w:right="165" w:firstLine="560" w:firstLineChars="200"/>
        <w:rPr>
          <w:rFonts w:hint="eastAsia" w:ascii="宋体" w:hAnsi="宋体" w:eastAsia="宋体" w:cs="宋体"/>
          <w:lang w:val="en-US" w:eastAsia="zh-CN"/>
        </w:rPr>
      </w:pPr>
      <w:r>
        <w:rPr>
          <w:rFonts w:hint="eastAsia" w:ascii="宋体" w:hAnsi="宋体" w:eastAsia="宋体" w:cs="宋体"/>
          <w:lang w:val="en-US" w:eastAsia="zh-CN"/>
        </w:rPr>
        <w:t>数据是信息化灵魂，知识经济时代更需要“心中有数”。比如：电子政务方面，提升国家治理体系和治理能力的现代化水平，宏观经济调控与精准发力，政府科学决策、监管服务，国土安全保障等；数字经济方面，万物互联、云计算、人工智能、区块链、 现代服务业、X +互联网；智慧社会方面，社会专业化、智能化建设和公共服务保障、智慧城市、智能乡村便捷化、普惠化治理与服务等；数字生态方面，生态环境时空监测和环境保护、灾害防治、评估应急指挥、美丽中国施政规划和生态补偿决策；数字文化方面，传统文化保护与传承、健康文化有效供给与服务等等，都需要数据有效供给，关键在数据资源要素的有效获取、挖掘利用、数据质量与安全保障。</w:t>
      </w:r>
    </w:p>
    <w:p>
      <w:pPr>
        <w:pStyle w:val="6"/>
        <w:spacing w:line="348" w:lineRule="auto"/>
        <w:ind w:right="165" w:firstLine="560" w:firstLineChars="200"/>
        <w:rPr>
          <w:rFonts w:hint="eastAsia" w:ascii="宋体" w:hAnsi="宋体" w:eastAsia="宋体" w:cs="宋体"/>
          <w:lang w:val="en-US" w:eastAsia="zh-CN"/>
        </w:rPr>
      </w:pPr>
      <w:r>
        <w:rPr>
          <w:rFonts w:hint="eastAsia" w:ascii="宋体" w:hAnsi="宋体" w:eastAsia="宋体" w:cs="宋体"/>
          <w:lang w:val="en-US" w:eastAsia="zh-CN"/>
        </w:rPr>
        <w:t>现在主要存在的普遍问题是数据拥有者不能有效使用数据，用数据者拿不到数据。有数据的人并不用这个数据，没有数据的人不知道数据在哪里。特别是电子政务的数据，实际上电子政务这个数据是最有标准的，相对来说，而且含金量也是最高的。怎么样把它挖掘出来应用？这是福建省在2019年数字福建建设中一直探讨的，现在很多东西还是要一步一步来。现在信息应用服务基础设施建设，中间这个桥断掉了。现在都讲信息化、基础设施都公认，但是信息化应用服务基础设施，这个目前是有缺位的。缺位怎么样建立起来？</w:t>
      </w:r>
    </w:p>
    <w:p>
      <w:pPr>
        <w:pStyle w:val="6"/>
        <w:spacing w:line="348" w:lineRule="auto"/>
        <w:ind w:right="165" w:firstLine="560" w:firstLineChars="200"/>
        <w:rPr>
          <w:rFonts w:hint="eastAsia" w:ascii="宋体" w:hAnsi="宋体" w:eastAsia="宋体" w:cs="宋体"/>
          <w:lang w:val="en-US" w:eastAsia="zh-CN"/>
        </w:rPr>
      </w:pPr>
      <w:r>
        <w:rPr>
          <w:rFonts w:hint="eastAsia" w:ascii="宋体" w:hAnsi="宋体" w:eastAsia="宋体" w:cs="宋体"/>
          <w:lang w:val="en-US" w:eastAsia="zh-CN"/>
        </w:rPr>
        <w:t>福建建设了数字中国研究院，在原来的基础上怎么完善。它的功能定位有8个方面。</w:t>
      </w:r>
    </w:p>
    <w:p>
      <w:pPr>
        <w:pStyle w:val="6"/>
        <w:spacing w:line="348" w:lineRule="auto"/>
        <w:ind w:right="165" w:firstLine="560" w:firstLineChars="200"/>
        <w:rPr>
          <w:rFonts w:hint="eastAsia" w:ascii="宋体" w:hAnsi="宋体" w:eastAsia="宋体" w:cs="宋体"/>
          <w:lang w:val="en-US" w:eastAsia="zh-CN"/>
        </w:rPr>
      </w:pPr>
      <w:r>
        <w:rPr>
          <w:rFonts w:hint="eastAsia" w:ascii="宋体" w:hAnsi="宋体" w:eastAsia="宋体" w:cs="宋体"/>
          <w:lang w:val="en-US" w:eastAsia="zh-CN"/>
        </w:rPr>
        <w:t>第一个作用是汇聚原始数据。现在都有“数据湖”的概念。基础数据，数据的汇聚跟共享，福建一直在做。比如说健康数据，有各种各样，行业数据里，数据之间、部门之间还有底层共享。这个原始数据怎么汇聚，这是第一个功能。汇聚工程在数字福建建设的时候，总书记当时当省长的时候，他提出来，你要做数字福建，要与经济社会信息化画等号。这么长的时间，一直在汇聚各种各样的，所以目前来说，所有的福建人口数据、法人数据，各种各样的数据进行汇聚，汇聚之后进行比对，底层共享。这个汇聚工程在去年首届数字中国建设峰会上被评为年度最佳实践。</w:t>
      </w:r>
    </w:p>
    <w:p>
      <w:pPr>
        <w:pStyle w:val="6"/>
        <w:spacing w:line="348" w:lineRule="auto"/>
        <w:ind w:right="165" w:firstLine="560" w:firstLineChars="200"/>
        <w:rPr>
          <w:rFonts w:hint="eastAsia" w:ascii="宋体" w:hAnsi="宋体" w:eastAsia="宋体" w:cs="宋体"/>
          <w:lang w:val="en-US" w:eastAsia="zh-CN"/>
        </w:rPr>
      </w:pPr>
      <w:r>
        <w:rPr>
          <w:rFonts w:hint="eastAsia" w:ascii="宋体" w:hAnsi="宋体" w:eastAsia="宋体" w:cs="宋体"/>
          <w:lang w:val="en-US" w:eastAsia="zh-CN"/>
        </w:rPr>
        <w:t>第二个是处理基础数据。无效、不准确、不统一、不一致的数据，通过数据处理以后变成了好的数据，这是基础工作，使得数据质量提高。数据的质量不提高的话，没有标准的数据，数据应用起来绝对是一个定时炸弹或者不定时炸弹。在这个基础上，进行大数据治理，这个要分类，要清洗比对，要纠错。实现数据全生命周期的监管、全过程审计、成熟度评估、数据准确和可追溯，有了这些追溯，后面发现错误可以随时改，质量控制标准，这个至关重要。</w:t>
      </w:r>
    </w:p>
    <w:p>
      <w:pPr>
        <w:pStyle w:val="6"/>
        <w:spacing w:line="348" w:lineRule="auto"/>
        <w:ind w:right="165" w:firstLine="560" w:firstLineChars="200"/>
        <w:rPr>
          <w:rFonts w:hint="eastAsia" w:ascii="宋体" w:hAnsi="宋体" w:eastAsia="宋体" w:cs="宋体"/>
          <w:lang w:val="en-US" w:eastAsia="zh-CN"/>
        </w:rPr>
      </w:pPr>
      <w:r>
        <w:rPr>
          <w:rFonts w:hint="eastAsia" w:ascii="宋体" w:hAnsi="宋体" w:eastAsia="宋体" w:cs="宋体"/>
          <w:lang w:val="en-US" w:eastAsia="zh-CN"/>
        </w:rPr>
        <w:t>第三个是开展数据挖掘。必须要清晰了解数据，把好数据，通过数据挖掘，即“算力+算法”，由数据挖掘出信息，信息通过集成变成一个知识，知识才能叫智慧。这有一个层级的问题，这里面就需要提升到各种知识，这样的话就应用起来了。物以类聚，鉴往知来。这些都清理一下，形成知识体系。现在的政务服务，现在民众的需求就都很清楚了。</w:t>
      </w:r>
    </w:p>
    <w:p>
      <w:pPr>
        <w:pStyle w:val="6"/>
        <w:spacing w:line="348" w:lineRule="auto"/>
        <w:ind w:right="165" w:firstLine="560" w:firstLineChars="200"/>
        <w:rPr>
          <w:rFonts w:hint="eastAsia" w:ascii="宋体" w:hAnsi="宋体" w:eastAsia="宋体" w:cs="宋体"/>
          <w:lang w:val="en-US" w:eastAsia="zh-CN"/>
        </w:rPr>
      </w:pPr>
      <w:r>
        <w:rPr>
          <w:rFonts w:hint="eastAsia" w:ascii="宋体" w:hAnsi="宋体" w:eastAsia="宋体" w:cs="宋体"/>
          <w:lang w:val="en-US" w:eastAsia="zh-CN"/>
        </w:rPr>
        <w:t xml:space="preserve"> 第四个方面是研发数据产品。这个是高质量的数据，现在数据中心都是高耗能产业。研发数据产品的案例，比如说推进电子证照，怎么样应用服务？我简单举一个物流，货车司机的回头货，只要一个公安的车辆管理系统把它联起来的话，回头货都可以跟各地物流中心联起来，这里面的数据有大量的东西。推进电子证照的深度应用，研发数据产品有各种各样的案例，再比如人口大数据的应用，20年前，大家说的比较多的，海量数据，空间数据挖掘很重要，现在跟人口一挂钩，跟法人一挂钩，几个基础数据库一连起来，全部都连起来了。</w:t>
      </w:r>
    </w:p>
    <w:p>
      <w:pPr>
        <w:pStyle w:val="6"/>
        <w:spacing w:line="348" w:lineRule="auto"/>
        <w:ind w:right="165" w:firstLine="560" w:firstLineChars="200"/>
        <w:rPr>
          <w:rFonts w:hint="eastAsia" w:ascii="宋体" w:hAnsi="宋体" w:eastAsia="宋体" w:cs="宋体"/>
          <w:lang w:val="en-US" w:eastAsia="zh-CN"/>
        </w:rPr>
      </w:pPr>
      <w:r>
        <w:rPr>
          <w:rFonts w:hint="eastAsia" w:ascii="宋体" w:hAnsi="宋体" w:eastAsia="宋体" w:cs="宋体"/>
          <w:lang w:val="en-US" w:eastAsia="zh-CN"/>
        </w:rPr>
        <w:t>第五个是提供信息服务。它的功能是为信息社会治理服务，从需求分析到整合数据到分析报告，痛点、难点问题，个性化服务就实现了，这些东西都是产生价值的数据。</w:t>
      </w:r>
    </w:p>
    <w:p>
      <w:pPr>
        <w:pStyle w:val="6"/>
        <w:spacing w:line="348" w:lineRule="auto"/>
        <w:ind w:right="165" w:firstLine="560" w:firstLineChars="200"/>
        <w:rPr>
          <w:rFonts w:hint="eastAsia" w:ascii="宋体" w:hAnsi="宋体" w:eastAsia="宋体" w:cs="宋体"/>
          <w:lang w:val="en-US" w:eastAsia="zh-CN"/>
        </w:rPr>
      </w:pPr>
      <w:r>
        <w:rPr>
          <w:rFonts w:hint="eastAsia" w:ascii="宋体" w:hAnsi="宋体" w:eastAsia="宋体" w:cs="宋体"/>
          <w:lang w:val="en-US" w:eastAsia="zh-CN"/>
        </w:rPr>
        <w:t>第六个是服务精准治理。我们正在做建设金融服务云，现在企业贷款很困难，怎么样帮助中小企业贷款？现在数据没法对中小企业进行评价、进行数据整合、进行分析报告。金融服务里面，我们现在做了一个平台，这个平台有一二三四五个体系，一个是服务平台；二个是两类核心用户，即中小企业和各种各样的金融和类金融机构。金融和类金融机构，在福建省，小的有大概一千家。三是把三大数据库连起来，提供政府管理入口、中小企业入口、金融机构入口、运行服务入口。这样的话，就可以进行汇聚金融数据，提升中小企业贷款的适应度，整合资源，为中小企业金融提供征信服务，同时也为金融机构赋能，降低他们的风险。再一个可以检测区域的金融动态，及时了解中小企业的风险动态，引导金融服务的力度、方向。持续优化提升“生态云”平台，进一步汇聚自然资源与环境、农林水、海洋气象等数据资源，服务精准治理另一个案例就是建设数字生态云平台，形成数字生态大数据，建设数字生态大省。现在跟生态相关的部门有22个，农业整合了13个部门，现在还不止13个部门。具体应用起来，数据可以融合起来、共通起来，进一步打造平台。第一届数字中国峰会已经展示，现在进一步提升，跟环保部签了合作协议。可以实现精准化监管和科学化的决策。</w:t>
      </w:r>
    </w:p>
    <w:p>
      <w:pPr>
        <w:pStyle w:val="6"/>
        <w:spacing w:line="348" w:lineRule="auto"/>
        <w:ind w:right="165" w:firstLine="560" w:firstLineChars="200"/>
        <w:rPr>
          <w:rFonts w:hint="eastAsia" w:ascii="宋体" w:hAnsi="宋体" w:eastAsia="宋体" w:cs="宋体"/>
          <w:lang w:val="en-US" w:eastAsia="zh-CN"/>
        </w:rPr>
      </w:pPr>
      <w:r>
        <w:rPr>
          <w:rFonts w:hint="eastAsia" w:ascii="宋体" w:hAnsi="宋体" w:eastAsia="宋体" w:cs="宋体"/>
          <w:lang w:val="en-US" w:eastAsia="zh-CN"/>
        </w:rPr>
        <w:t>第七个方面是促进产业发展，一个是通过数据共享，还有一个是数据开放，数据开放就产生数据增值。通过数据增值促进数据的交易，这样资本就可以进入。数据共享开放之间有一个透明服务的问题，这都需要第三方的公共服务来提高。不然的话，各家企业自己去做做不来。主要是解决行业的堵点和痛点，创新发展应用，拓展数字经济。</w:t>
      </w:r>
    </w:p>
    <w:p>
      <w:pPr>
        <w:pStyle w:val="6"/>
        <w:spacing w:line="348" w:lineRule="auto"/>
        <w:ind w:right="165" w:firstLine="560" w:firstLineChars="200"/>
        <w:rPr>
          <w:rFonts w:hint="eastAsia" w:ascii="宋体" w:hAnsi="宋体" w:eastAsia="宋体" w:cs="宋体"/>
          <w:lang w:val="en-US" w:eastAsia="zh-CN"/>
        </w:rPr>
      </w:pPr>
      <w:r>
        <w:rPr>
          <w:rFonts w:hint="eastAsia" w:ascii="宋体" w:hAnsi="宋体" w:eastAsia="宋体" w:cs="宋体"/>
          <w:lang w:val="en-US" w:eastAsia="zh-CN"/>
        </w:rPr>
        <w:t xml:space="preserve"> 国家电子政务专家委员会今年的工作重点就是数据的开发，后面我还会做一系列的调研。促进发展方面，比如说福建省，我们数据服务，比如产业源的服务，有各种各样的服务。还有服务人工智能“双百行动”，从数据内容、数据技术，还有卫星应用。还有一个是扶持壮大物联网产业，大数据处理问题，数据融合集成问题等等，都是要通过专业化的服务进行基础设施建设。平台经济这方面，提供数据交换、数据质量评价、数据挖掘利用技术支持。还有信息产业消费的问题，都可以提供各种服务。</w:t>
      </w:r>
    </w:p>
    <w:p>
      <w:pPr>
        <w:pStyle w:val="6"/>
        <w:spacing w:line="348" w:lineRule="auto"/>
        <w:ind w:right="165" w:firstLine="560" w:firstLineChars="200"/>
        <w:rPr>
          <w:rFonts w:hint="eastAsia" w:ascii="宋体" w:hAnsi="宋体" w:eastAsia="宋体" w:cs="宋体"/>
          <w:lang w:val="en-US" w:eastAsia="zh-CN"/>
        </w:rPr>
      </w:pPr>
      <w:r>
        <w:rPr>
          <w:rFonts w:hint="eastAsia" w:ascii="宋体" w:hAnsi="宋体" w:eastAsia="宋体" w:cs="宋体"/>
          <w:lang w:val="en-US" w:eastAsia="zh-CN"/>
        </w:rPr>
        <w:t xml:space="preserve"> 最后一个是培养数字化人才。我把它叫做数据应用的经济人组织，对外服务不仅是自己对外服务，人家不知道数据在哪里，提供咨询服务，告诉他们哪一家最好，找到专业化的信息服务，把他做大做强做好。目前这个经济人还是公益性服务，公平合理的把数据开放出来，同时培养信息化人才，这个也是数字中国研究院的一个重要的内容之一。说来说去还是人，人才的培养、数据技术、数据管理、数据应用。</w:t>
      </w:r>
    </w:p>
    <w:p>
      <w:pPr>
        <w:pStyle w:val="6"/>
        <w:spacing w:line="348" w:lineRule="auto"/>
        <w:ind w:right="165" w:firstLine="560" w:firstLineChars="200"/>
        <w:rPr>
          <w:rFonts w:hint="eastAsia" w:ascii="宋体" w:hAnsi="宋体" w:eastAsia="宋体" w:cs="宋体"/>
          <w:lang w:val="en-US" w:eastAsia="zh-CN"/>
        </w:rPr>
      </w:pPr>
      <w:r>
        <w:rPr>
          <w:rFonts w:hint="eastAsia" w:ascii="宋体" w:hAnsi="宋体" w:eastAsia="宋体" w:cs="宋体"/>
          <w:lang w:val="en-US" w:eastAsia="zh-CN"/>
        </w:rPr>
        <w:t>我今天聚焦在信息化应用基础设施这方面，目前是一个切入点，做好了，我们的数字经济，不管是数字经济还是智慧社会、数字生态、数字文化，还是电子政务，各方面健康发展。打造数字福建信息应用服务基础设施，借梯登高，加快建设数字中国。我就介绍这些。</w:t>
      </w:r>
    </w:p>
    <w:p>
      <w:pPr>
        <w:pStyle w:val="6"/>
        <w:spacing w:line="348" w:lineRule="auto"/>
        <w:ind w:right="165" w:firstLine="560" w:firstLineChars="200"/>
        <w:rPr>
          <w:rFonts w:hint="eastAsia" w:ascii="宋体" w:hAnsi="宋体" w:eastAsia="宋体" w:cs="宋体"/>
          <w:lang w:val="en-US" w:eastAsia="zh-CN"/>
        </w:rPr>
      </w:pPr>
      <w:r>
        <w:rPr>
          <w:rFonts w:hint="eastAsia" w:ascii="宋体" w:hAnsi="宋体" w:eastAsia="宋体" w:cs="宋体"/>
          <w:lang w:val="en-US" w:eastAsia="zh-CN"/>
        </w:rPr>
        <w:t>（根据录音等资料整理，未经审阅）</w:t>
      </w:r>
    </w:p>
    <w:p>
      <w:pPr>
        <w:pStyle w:val="6"/>
        <w:spacing w:line="348" w:lineRule="auto"/>
        <w:ind w:right="165" w:firstLine="560" w:firstLineChars="200"/>
        <w:rPr>
          <w:rFonts w:hint="eastAsia" w:ascii="宋体" w:hAnsi="宋体" w:eastAsia="宋体" w:cs="宋体"/>
          <w:lang w:val="en-US" w:eastAsia="zh-CN"/>
        </w:rPr>
      </w:pPr>
    </w:p>
    <w:bookmarkEnd w:id="31"/>
    <w:p>
      <w:pPr>
        <w:pStyle w:val="2"/>
        <w:keepNext w:val="0"/>
        <w:keepLines w:val="0"/>
        <w:pageBreakBefore/>
        <w:widowControl w:val="0"/>
        <w:kinsoku/>
        <w:wordWrap/>
        <w:overflowPunct/>
        <w:topLinePunct w:val="0"/>
        <w:autoSpaceDE/>
        <w:autoSpaceDN/>
        <w:bidi w:val="0"/>
        <w:adjustRightInd/>
        <w:snapToGrid/>
        <w:ind w:left="0" w:leftChars="0" w:right="-45" w:firstLine="0" w:firstLineChars="0"/>
        <w:textAlignment w:val="auto"/>
        <w:outlineLvl w:val="0"/>
        <w:rPr>
          <w:rFonts w:hint="default" w:ascii="宋体" w:hAnsi="宋体" w:eastAsia="宋体" w:cs="宋体"/>
          <w:lang w:val="en-US" w:eastAsia="zh-CN"/>
        </w:rPr>
      </w:pPr>
      <w:bookmarkStart w:id="32" w:name="_Toc32132"/>
      <w:bookmarkStart w:id="33" w:name="_Toc2676"/>
      <w:bookmarkStart w:id="34" w:name="_Toc29640"/>
      <w:bookmarkStart w:id="35" w:name="_Toc14924"/>
      <w:bookmarkStart w:id="36" w:name="_Toc24175"/>
      <w:r>
        <w:rPr>
          <w:rFonts w:hint="eastAsia" w:asciiTheme="minorHAnsi" w:eastAsiaTheme="minorEastAsia"/>
          <w:b/>
          <w:bCs/>
          <w:color w:val="auto"/>
          <w:sz w:val="32"/>
          <w:szCs w:val="32"/>
          <w:lang w:val="en-US" w:eastAsia="zh-CN"/>
        </w:rPr>
        <w:t>【</w:t>
      </w:r>
      <w:r>
        <w:rPr>
          <w:rFonts w:hint="eastAsia" w:asciiTheme="minorHAnsi" w:eastAsiaTheme="minorEastAsia"/>
          <w:b/>
          <w:bCs/>
          <w:color w:val="auto"/>
          <w:sz w:val="32"/>
          <w:szCs w:val="32"/>
          <w:highlight w:val="none"/>
          <w:lang w:val="en-US" w:eastAsia="zh-CN"/>
        </w:rPr>
        <w:t>地方实践</w:t>
      </w:r>
      <w:r>
        <w:rPr>
          <w:rFonts w:hint="eastAsia" w:asciiTheme="minorHAnsi" w:eastAsiaTheme="minorEastAsia"/>
          <w:b/>
          <w:bCs/>
          <w:color w:val="auto"/>
          <w:sz w:val="32"/>
          <w:szCs w:val="32"/>
          <w:lang w:val="en-US" w:eastAsia="zh-CN"/>
        </w:rPr>
        <w:t>】</w:t>
      </w:r>
      <w:bookmarkEnd w:id="32"/>
      <w:bookmarkEnd w:id="33"/>
      <w:bookmarkEnd w:id="34"/>
      <w:bookmarkEnd w:id="35"/>
      <w:bookmarkEnd w:id="36"/>
    </w:p>
    <w:p>
      <w:pPr>
        <w:pStyle w:val="6"/>
        <w:spacing w:line="348" w:lineRule="auto"/>
        <w:ind w:right="165" w:firstLine="562" w:firstLineChars="200"/>
        <w:rPr>
          <w:rFonts w:hint="eastAsia" w:ascii="宋体" w:hAnsi="宋体" w:eastAsia="宋体" w:cs="宋体"/>
          <w:b/>
          <w:bCs/>
          <w:lang w:val="en-US" w:eastAsia="zh-CN"/>
        </w:rPr>
      </w:pPr>
      <w:r>
        <w:rPr>
          <w:rFonts w:hint="eastAsia" w:ascii="宋体" w:hAnsi="宋体" w:eastAsia="宋体" w:cs="宋体"/>
          <w:b/>
          <w:bCs/>
          <w:lang w:val="en-US" w:eastAsia="zh-CN"/>
        </w:rPr>
        <w:t>宁夏药品实现大数据“智慧监管”</w:t>
      </w:r>
    </w:p>
    <w:p>
      <w:pPr>
        <w:pStyle w:val="6"/>
        <w:spacing w:line="348" w:lineRule="auto"/>
        <w:ind w:right="165" w:firstLine="560" w:firstLineChars="200"/>
        <w:rPr>
          <w:rFonts w:hint="eastAsia" w:ascii="宋体" w:hAnsi="宋体" w:eastAsia="宋体" w:cs="宋体"/>
          <w:lang w:val="en-US" w:eastAsia="zh-CN"/>
        </w:rPr>
      </w:pPr>
      <w:r>
        <w:rPr>
          <w:rFonts w:hint="eastAsia" w:ascii="宋体" w:hAnsi="宋体" w:eastAsia="宋体" w:cs="宋体"/>
          <w:lang w:val="en-US" w:eastAsia="zh-CN"/>
        </w:rPr>
        <w:t>宁夏药品“智慧监管”平台于2020年1月1日起正式投入运行，标志着自治区的药品监管进入全面探索大数据智慧监管的应用阶段。平台将面向各级药品监督管理部门、药械化相关企业和社会公众提供“全方位、全环节、全流程”服务，推动宁夏健康产业发展。宁夏还将进一步完善平台功能，对自治区的相关药监人员进行实操培训，加快药品全生命周期追溯体系建设，实现监管方式由粗放型向全过程精细化管理的转变。</w:t>
      </w:r>
    </w:p>
    <w:p>
      <w:pPr>
        <w:pStyle w:val="6"/>
        <w:spacing w:line="348" w:lineRule="auto"/>
        <w:ind w:right="165" w:firstLine="562" w:firstLineChars="200"/>
        <w:rPr>
          <w:rFonts w:hint="eastAsia" w:ascii="宋体" w:hAnsi="宋体" w:eastAsia="宋体" w:cs="宋体"/>
          <w:b/>
          <w:bCs/>
          <w:lang w:val="en-US" w:eastAsia="zh-CN"/>
        </w:rPr>
      </w:pPr>
    </w:p>
    <w:p>
      <w:pPr>
        <w:pStyle w:val="6"/>
        <w:spacing w:line="348" w:lineRule="auto"/>
        <w:ind w:right="165" w:firstLine="562" w:firstLineChars="200"/>
        <w:rPr>
          <w:rFonts w:hint="eastAsia" w:ascii="宋体" w:hAnsi="宋体" w:eastAsia="宋体" w:cs="宋体"/>
          <w:b/>
          <w:bCs/>
          <w:lang w:val="en-US" w:eastAsia="zh-CN"/>
        </w:rPr>
      </w:pPr>
      <w:r>
        <w:rPr>
          <w:rFonts w:hint="eastAsia" w:ascii="宋体" w:hAnsi="宋体" w:eastAsia="宋体" w:cs="宋体"/>
          <w:b/>
          <w:bCs/>
          <w:lang w:val="en-US" w:eastAsia="zh-CN"/>
        </w:rPr>
        <w:t>全球首个可移动量子卫星地面站在济南与“墨子号”对接成功</w:t>
      </w:r>
    </w:p>
    <w:p>
      <w:pPr>
        <w:pStyle w:val="6"/>
        <w:spacing w:line="348" w:lineRule="auto"/>
        <w:ind w:right="165" w:firstLine="560" w:firstLineChars="200"/>
        <w:rPr>
          <w:rFonts w:hint="eastAsia" w:ascii="宋体" w:hAnsi="宋体" w:eastAsia="宋体" w:cs="宋体"/>
          <w:b w:val="0"/>
          <w:bCs w:val="0"/>
          <w:lang w:val="en-US" w:eastAsia="zh-CN"/>
        </w:rPr>
      </w:pPr>
      <w:r>
        <w:rPr>
          <w:rFonts w:hint="eastAsia" w:ascii="宋体" w:hAnsi="宋体" w:eastAsia="宋体" w:cs="宋体"/>
          <w:b w:val="0"/>
          <w:bCs w:val="0"/>
          <w:lang w:val="en-US" w:eastAsia="zh-CN"/>
        </w:rPr>
        <w:t>12月30日23时31分44秒，全球首个可移动量子卫星地面站在济南与“墨子号”卫星对接成功，标志着我国在量子领域的科技创新与应用取得了重要突破。“墨子号”量子卫星济南地面站，将开展量子密钥分发等相关技术研究，并对接济南网、党政专网等济南城域网络，进一步服务政务、金融、教育等领域需求，打造“量子+”应用示范新工程。</w:t>
      </w:r>
    </w:p>
    <w:p>
      <w:pPr>
        <w:pStyle w:val="6"/>
        <w:spacing w:line="348" w:lineRule="auto"/>
        <w:ind w:right="165" w:firstLine="562" w:firstLineChars="200"/>
        <w:rPr>
          <w:rFonts w:hint="eastAsia" w:ascii="宋体" w:hAnsi="宋体" w:eastAsia="宋体" w:cs="宋体"/>
          <w:b/>
          <w:bCs/>
          <w:lang w:val="en-US" w:eastAsia="zh-CN"/>
        </w:rPr>
      </w:pPr>
    </w:p>
    <w:p>
      <w:pPr>
        <w:pStyle w:val="6"/>
        <w:spacing w:line="348" w:lineRule="auto"/>
        <w:ind w:right="165" w:firstLine="562" w:firstLineChars="200"/>
        <w:rPr>
          <w:rFonts w:hint="eastAsia" w:ascii="宋体" w:hAnsi="宋体" w:eastAsia="宋体" w:cs="宋体"/>
          <w:b/>
          <w:bCs/>
          <w:lang w:val="en-US" w:eastAsia="zh-CN"/>
        </w:rPr>
      </w:pPr>
      <w:r>
        <w:rPr>
          <w:rFonts w:hint="eastAsia" w:ascii="宋体" w:hAnsi="宋体" w:eastAsia="宋体" w:cs="宋体"/>
          <w:b/>
          <w:bCs/>
          <w:lang w:val="en-US" w:eastAsia="zh-CN"/>
        </w:rPr>
        <w:t>全国首家省会城市政府英文网站集群 贵阳市政府英文网站集群正式上线运行</w:t>
      </w:r>
    </w:p>
    <w:p>
      <w:pPr>
        <w:pStyle w:val="6"/>
        <w:spacing w:line="348" w:lineRule="auto"/>
        <w:ind w:right="165" w:firstLine="560" w:firstLineChars="200"/>
        <w:rPr>
          <w:rFonts w:hint="eastAsia" w:ascii="宋体" w:hAnsi="宋体" w:eastAsia="宋体" w:cs="宋体"/>
          <w:lang w:val="en-US" w:eastAsia="zh-CN"/>
        </w:rPr>
      </w:pPr>
      <w:r>
        <w:rPr>
          <w:rFonts w:hint="eastAsia" w:ascii="宋体" w:hAnsi="宋体" w:eastAsia="宋体" w:cs="宋体"/>
          <w:lang w:val="en-US" w:eastAsia="zh-CN"/>
        </w:rPr>
        <w:t>2019年12月30日，在市委十届八次全会胜利闭幕之际，全国首家省会城市政府英文网站集群——贵阳市政府英文网站集群正式上线运行，标志着贵阳拥有了政务信息英文发布权威平台，为贵阳扩大传播范围、增强海外传播效应增添了新动力。访客可登陆贵阳市政府门户网站（http://english.guiyang.gov.cn）点击访问。</w:t>
      </w:r>
    </w:p>
    <w:p>
      <w:pPr>
        <w:pStyle w:val="6"/>
        <w:spacing w:line="348" w:lineRule="auto"/>
        <w:ind w:right="165" w:firstLine="560" w:firstLineChars="200"/>
        <w:rPr>
          <w:rFonts w:hint="eastAsia" w:ascii="宋体" w:hAnsi="宋体" w:eastAsia="宋体" w:cs="宋体"/>
          <w:lang w:val="en-US" w:eastAsia="zh-CN"/>
        </w:rPr>
      </w:pPr>
    </w:p>
    <w:p>
      <w:pPr>
        <w:pStyle w:val="6"/>
        <w:spacing w:line="348" w:lineRule="auto"/>
        <w:ind w:right="165" w:firstLine="562" w:firstLineChars="200"/>
        <w:rPr>
          <w:rFonts w:hint="eastAsia" w:ascii="宋体" w:hAnsi="宋体" w:eastAsia="宋体" w:cs="宋体"/>
          <w:b/>
          <w:bCs/>
          <w:lang w:val="en-US" w:eastAsia="zh-CN"/>
        </w:rPr>
      </w:pPr>
      <w:r>
        <w:rPr>
          <w:rFonts w:hint="eastAsia" w:ascii="宋体" w:hAnsi="宋体" w:eastAsia="宋体" w:cs="宋体"/>
          <w:b/>
          <w:bCs/>
          <w:lang w:val="en-US" w:eastAsia="zh-CN"/>
        </w:rPr>
        <w:t>武汉市企业融资对接平台上线</w:t>
      </w:r>
    </w:p>
    <w:p>
      <w:pPr>
        <w:pStyle w:val="6"/>
        <w:spacing w:line="348" w:lineRule="auto"/>
        <w:ind w:right="165" w:firstLine="560" w:firstLineChars="200"/>
        <w:rPr>
          <w:rFonts w:hint="eastAsia" w:ascii="宋体" w:hAnsi="宋体" w:eastAsia="宋体" w:cs="宋体"/>
          <w:lang w:val="en-US" w:eastAsia="zh-CN"/>
        </w:rPr>
      </w:pPr>
      <w:r>
        <w:rPr>
          <w:rFonts w:hint="eastAsia" w:ascii="宋体" w:hAnsi="宋体" w:eastAsia="宋体" w:cs="宋体"/>
          <w:lang w:val="en-US" w:eastAsia="zh-CN"/>
        </w:rPr>
        <w:t>12月27日，“武汉市企业融资对接服务平台”（“汉融通”）正式上线运行。“汉融通”平台由武汉市地方金融工作局牵头搭建,旨在整合政府大数据资源，利用前沿信息技术和先进的评价模型，在保障企业隐私和信息安全的同时，缓解企业与金融机构的信息不对称问题，搭建“融资服务+信用评价+持续经营能力评估”的“互联网+政务+金融+大数据”融资服务链，让信息“多跑路”，让企业“少跑腿”，打造企业融资服务的“武汉效率”。</w:t>
      </w:r>
    </w:p>
    <w:p>
      <w:pPr>
        <w:pStyle w:val="6"/>
        <w:spacing w:line="348" w:lineRule="auto"/>
        <w:ind w:right="165" w:firstLine="560" w:firstLineChars="200"/>
        <w:rPr>
          <w:rFonts w:hint="eastAsia" w:ascii="宋体" w:hAnsi="宋体" w:eastAsia="宋体" w:cs="宋体"/>
          <w:lang w:val="en-US" w:eastAsia="zh-CN"/>
        </w:rPr>
      </w:pPr>
    </w:p>
    <w:p>
      <w:pPr>
        <w:pStyle w:val="6"/>
        <w:spacing w:line="348" w:lineRule="auto"/>
        <w:ind w:right="165" w:firstLine="562" w:firstLineChars="200"/>
        <w:rPr>
          <w:rFonts w:hint="eastAsia" w:ascii="宋体" w:hAnsi="宋体" w:eastAsia="宋体" w:cs="宋体"/>
          <w:b/>
          <w:bCs/>
          <w:lang w:val="en-US" w:eastAsia="zh-CN"/>
        </w:rPr>
      </w:pPr>
      <w:r>
        <w:rPr>
          <w:rFonts w:hint="eastAsia" w:ascii="宋体" w:hAnsi="宋体" w:eastAsia="宋体" w:cs="宋体"/>
          <w:b/>
          <w:bCs/>
          <w:lang w:val="en-US" w:eastAsia="zh-CN"/>
        </w:rPr>
        <w:t>吉林省首张医疗收费电子票据正式上线 医疗票据跨入无纸化时代</w:t>
      </w:r>
    </w:p>
    <w:p>
      <w:pPr>
        <w:pStyle w:val="6"/>
        <w:spacing w:line="348" w:lineRule="auto"/>
        <w:ind w:right="165" w:firstLine="560" w:firstLineChars="200"/>
        <w:rPr>
          <w:rFonts w:hint="eastAsia" w:ascii="宋体" w:hAnsi="宋体" w:eastAsia="宋体" w:cs="宋体"/>
          <w:lang w:val="en-US" w:eastAsia="zh-CN"/>
        </w:rPr>
      </w:pPr>
      <w:r>
        <w:rPr>
          <w:rFonts w:hint="eastAsia" w:ascii="宋体" w:hAnsi="宋体" w:eastAsia="宋体" w:cs="宋体"/>
          <w:lang w:val="en-US" w:eastAsia="zh-CN"/>
        </w:rPr>
        <w:t>12月27日，吉林省首张医疗收费电子票据在吉林大学第一医院开出。医疗收费电子票据的正式启用，标志着吉林省医疗系统跨入“发票无纸化”时代。医疗收费电子票据不仅改变了传统的医院管理模式，也将有力推进医疗信息化改革，是吉林省构建智慧医疗系统必不可少的一环。</w:t>
      </w:r>
    </w:p>
    <w:p>
      <w:pPr>
        <w:pStyle w:val="6"/>
        <w:spacing w:line="348" w:lineRule="auto"/>
        <w:ind w:right="165" w:firstLine="560" w:firstLineChars="200"/>
        <w:rPr>
          <w:rFonts w:hint="eastAsia" w:ascii="宋体" w:hAnsi="宋体" w:eastAsia="宋体" w:cs="宋体"/>
          <w:lang w:val="en-US" w:eastAsia="zh-CN"/>
        </w:rPr>
      </w:pPr>
    </w:p>
    <w:p>
      <w:pPr>
        <w:pStyle w:val="6"/>
        <w:spacing w:line="348" w:lineRule="auto"/>
        <w:ind w:right="165" w:firstLine="562" w:firstLineChars="200"/>
        <w:rPr>
          <w:rFonts w:hint="eastAsia" w:ascii="宋体" w:hAnsi="宋体" w:eastAsia="宋体" w:cs="宋体"/>
          <w:b/>
          <w:bCs/>
          <w:lang w:val="en-US" w:eastAsia="zh-CN"/>
        </w:rPr>
      </w:pPr>
    </w:p>
    <w:p>
      <w:pPr>
        <w:pStyle w:val="6"/>
        <w:spacing w:line="348" w:lineRule="auto"/>
        <w:ind w:right="165" w:firstLine="562" w:firstLineChars="200"/>
        <w:rPr>
          <w:rFonts w:hint="eastAsia" w:ascii="宋体" w:hAnsi="宋体" w:eastAsia="宋体" w:cs="宋体"/>
          <w:b/>
          <w:bCs/>
          <w:lang w:val="en-US" w:eastAsia="zh-CN"/>
        </w:rPr>
      </w:pPr>
      <w:r>
        <w:rPr>
          <w:rFonts w:hint="eastAsia" w:ascii="宋体" w:hAnsi="宋体" w:eastAsia="宋体" w:cs="宋体"/>
          <w:b/>
          <w:bCs/>
          <w:lang w:val="en-US" w:eastAsia="zh-CN"/>
        </w:rPr>
        <w:t>云南：公共就业服务实现“一点登录、全网通办”</w:t>
      </w:r>
    </w:p>
    <w:p>
      <w:pPr>
        <w:pStyle w:val="6"/>
        <w:spacing w:line="348" w:lineRule="auto"/>
        <w:ind w:right="165" w:firstLine="560" w:firstLineChars="200"/>
        <w:rPr>
          <w:rFonts w:hint="eastAsia" w:ascii="宋体" w:hAnsi="宋体" w:eastAsia="宋体" w:cs="宋体"/>
          <w:lang w:val="en-US" w:eastAsia="zh-CN"/>
        </w:rPr>
      </w:pPr>
      <w:r>
        <w:rPr>
          <w:rFonts w:hint="eastAsia" w:ascii="宋体" w:hAnsi="宋体" w:eastAsia="宋体" w:cs="宋体"/>
          <w:lang w:val="en-US" w:eastAsia="zh-CN"/>
        </w:rPr>
        <w:t>云南省人力资源和社会保障厅26日在昆明举行新闻发布会，宣布“就业彩云南·一部手机找工作”——云南省公共就业服务信息系统上线。系统综合运用“互联网++”和“大数据”技术，打通业务专网、互联网和移动互联网“三网”渠道，形成业务受理、经办、审核闭环，实现公共就业服务“一点登录、全网通办”。</w:t>
      </w:r>
    </w:p>
    <w:p>
      <w:pPr>
        <w:pStyle w:val="6"/>
        <w:spacing w:line="348" w:lineRule="auto"/>
        <w:ind w:right="165" w:firstLine="560" w:firstLineChars="200"/>
        <w:rPr>
          <w:rFonts w:hint="eastAsia" w:ascii="宋体" w:hAnsi="宋体" w:eastAsia="宋体" w:cs="宋体"/>
          <w:lang w:val="en-US" w:eastAsia="zh-CN"/>
        </w:rPr>
      </w:pPr>
    </w:p>
    <w:p>
      <w:pPr>
        <w:pStyle w:val="6"/>
        <w:spacing w:line="348" w:lineRule="auto"/>
        <w:ind w:right="165" w:firstLine="562" w:firstLineChars="200"/>
        <w:rPr>
          <w:rFonts w:hint="eastAsia" w:ascii="宋体" w:hAnsi="宋体" w:eastAsia="宋体" w:cs="宋体"/>
          <w:b/>
          <w:bCs/>
          <w:lang w:val="en-US" w:eastAsia="zh-CN"/>
        </w:rPr>
      </w:pPr>
      <w:r>
        <w:rPr>
          <w:rFonts w:hint="eastAsia" w:ascii="宋体" w:hAnsi="宋体" w:eastAsia="宋体" w:cs="宋体"/>
          <w:b/>
          <w:bCs/>
          <w:lang w:val="en-US" w:eastAsia="zh-CN"/>
        </w:rPr>
        <w:t>河北省互联网行业党委成立</w:t>
      </w:r>
    </w:p>
    <w:p>
      <w:pPr>
        <w:pStyle w:val="6"/>
        <w:spacing w:line="348" w:lineRule="auto"/>
        <w:ind w:right="165" w:firstLine="560" w:firstLineChars="200"/>
        <w:rPr>
          <w:rFonts w:hint="eastAsia" w:ascii="宋体" w:hAnsi="宋体" w:eastAsia="宋体" w:cs="宋体"/>
          <w:lang w:val="en-US" w:eastAsia="zh-CN"/>
        </w:rPr>
      </w:pPr>
      <w:r>
        <w:rPr>
          <w:rFonts w:hint="eastAsia" w:ascii="宋体" w:hAnsi="宋体" w:eastAsia="宋体" w:cs="宋体"/>
          <w:lang w:val="en-US" w:eastAsia="zh-CN"/>
        </w:rPr>
        <w:t>12月25日，河北省互联网行业党委揭牌仪式在石家庄举行。互联网行业党委的成立有助于深入学习领会习近平新时代中国特色社会主义思想特别是习近平总书记关于网络强国的重要思想，推动河北省互联网行业党建各项工作落地见效。</w:t>
      </w:r>
    </w:p>
    <w:p>
      <w:pPr>
        <w:pStyle w:val="6"/>
        <w:spacing w:line="348" w:lineRule="auto"/>
        <w:ind w:right="165" w:firstLine="560" w:firstLineChars="200"/>
        <w:rPr>
          <w:rFonts w:hint="eastAsia" w:ascii="宋体" w:hAnsi="宋体" w:eastAsia="宋体" w:cs="宋体"/>
          <w:lang w:val="en-US" w:eastAsia="zh-CN"/>
        </w:rPr>
      </w:pPr>
      <w:r>
        <w:rPr>
          <w:rFonts w:hint="eastAsia" w:ascii="宋体" w:hAnsi="宋体" w:eastAsia="宋体" w:cs="宋体"/>
          <w:lang w:val="en-US" w:eastAsia="zh-CN"/>
        </w:rPr>
        <w:t> </w:t>
      </w:r>
    </w:p>
    <w:p>
      <w:pPr>
        <w:pStyle w:val="6"/>
        <w:spacing w:line="348" w:lineRule="auto"/>
        <w:ind w:right="165" w:firstLine="562" w:firstLineChars="200"/>
        <w:rPr>
          <w:rFonts w:hint="eastAsia" w:ascii="宋体" w:hAnsi="宋体" w:eastAsia="宋体" w:cs="宋体"/>
          <w:b/>
          <w:bCs/>
          <w:lang w:val="en-US" w:eastAsia="zh-CN"/>
        </w:rPr>
      </w:pPr>
      <w:r>
        <w:rPr>
          <w:rFonts w:hint="eastAsia" w:ascii="宋体" w:hAnsi="宋体" w:eastAsia="宋体" w:cs="宋体"/>
          <w:b/>
          <w:bCs/>
          <w:lang w:val="en-US" w:eastAsia="zh-CN"/>
        </w:rPr>
        <w:t>2019中国·许昌第二届5G泛在峰会开幕</w:t>
      </w:r>
    </w:p>
    <w:p>
      <w:pPr>
        <w:pStyle w:val="6"/>
        <w:spacing w:line="348" w:lineRule="auto"/>
        <w:ind w:right="165" w:firstLine="560" w:firstLineChars="200"/>
        <w:rPr>
          <w:rFonts w:hint="eastAsia" w:ascii="宋体" w:hAnsi="宋体" w:eastAsia="宋体" w:cs="宋体"/>
          <w:lang w:val="en-US" w:eastAsia="zh-CN"/>
        </w:rPr>
      </w:pPr>
      <w:r>
        <w:rPr>
          <w:rFonts w:hint="eastAsia" w:ascii="宋体" w:hAnsi="宋体" w:eastAsia="宋体" w:cs="宋体"/>
          <w:lang w:val="en-US" w:eastAsia="zh-CN"/>
        </w:rPr>
        <w:t>12月20日，2019中国·许昌第二届5G泛在峰会在许昌市召开，本次峰会以"5G+产业融合·生态共创"为主题,将举办开幕式及领导致辞、揭牌及签约仪式、主旨演讲、信息发布、5G应用论坛等活动。本次峰会在持续引领河南省5G产业发展,推动技创新与产业发展深度融合的同时,致力于打造国内领先的5G合作交流平台。</w:t>
      </w:r>
    </w:p>
    <w:p>
      <w:pPr>
        <w:pStyle w:val="6"/>
        <w:spacing w:line="348" w:lineRule="auto"/>
        <w:ind w:right="165" w:firstLine="562" w:firstLineChars="200"/>
        <w:rPr>
          <w:rFonts w:hint="eastAsia" w:ascii="宋体" w:hAnsi="宋体" w:eastAsia="宋体" w:cs="宋体"/>
          <w:b/>
          <w:bCs/>
          <w:lang w:val="en-US" w:eastAsia="zh-CN"/>
        </w:rPr>
      </w:pPr>
    </w:p>
    <w:p>
      <w:pPr>
        <w:pStyle w:val="6"/>
        <w:spacing w:line="348" w:lineRule="auto"/>
        <w:ind w:right="165" w:firstLine="562" w:firstLineChars="200"/>
        <w:rPr>
          <w:rFonts w:hint="eastAsia" w:ascii="宋体" w:hAnsi="宋体" w:eastAsia="宋体" w:cs="宋体"/>
          <w:b/>
          <w:bCs/>
          <w:lang w:val="en-US" w:eastAsia="zh-CN"/>
        </w:rPr>
      </w:pPr>
      <w:r>
        <w:rPr>
          <w:rFonts w:hint="eastAsia" w:ascii="宋体" w:hAnsi="宋体" w:eastAsia="宋体" w:cs="宋体"/>
          <w:b/>
          <w:bCs/>
          <w:lang w:val="en-US" w:eastAsia="zh-CN"/>
        </w:rPr>
        <w:t>黑龙江集中治理高校管理服务类教育移动互联网应用</w:t>
      </w:r>
    </w:p>
    <w:p>
      <w:pPr>
        <w:pStyle w:val="6"/>
        <w:spacing w:line="348" w:lineRule="auto"/>
        <w:ind w:right="165" w:firstLine="560" w:firstLineChars="200"/>
        <w:rPr>
          <w:rFonts w:hint="eastAsia" w:ascii="宋体" w:hAnsi="宋体" w:eastAsia="宋体" w:cs="宋体"/>
          <w:lang w:val="en-US" w:eastAsia="zh-CN"/>
        </w:rPr>
      </w:pPr>
      <w:r>
        <w:rPr>
          <w:rFonts w:hint="eastAsia" w:ascii="宋体" w:hAnsi="宋体" w:eastAsia="宋体" w:cs="宋体"/>
          <w:lang w:val="en-US" w:eastAsia="zh-CN"/>
        </w:rPr>
        <w:t>近日，黑龙江省教育厅正式向社会公布《关于开展高等院校管理服务类教育移动互联网应用专项治理行动的通知》。《通知》要求，在2020年3月底前完成管理服务类教育移动应用的清理工作，让问题教育移动应用的数量明显减少，违规采集个人信息等问题得到有效遏制。各高等院校要建立“一数一源”数据共享制度，所有教育移动应用使用个人基本信息应从基础数据库中共享，不得向用户重复釆集个人基本信息。</w:t>
      </w:r>
    </w:p>
    <w:p>
      <w:pPr>
        <w:pStyle w:val="6"/>
        <w:spacing w:line="348" w:lineRule="auto"/>
        <w:ind w:right="165" w:firstLine="560" w:firstLineChars="200"/>
        <w:rPr>
          <w:rFonts w:hint="eastAsia" w:ascii="宋体" w:hAnsi="宋体" w:eastAsia="宋体" w:cs="宋体"/>
          <w:lang w:val="en-US" w:eastAsia="zh-CN"/>
        </w:rPr>
      </w:pPr>
    </w:p>
    <w:p>
      <w:pPr>
        <w:pStyle w:val="6"/>
        <w:spacing w:line="348" w:lineRule="auto"/>
        <w:ind w:right="165" w:firstLine="560" w:firstLineChars="200"/>
        <w:rPr>
          <w:rFonts w:hint="eastAsia" w:ascii="宋体" w:hAnsi="宋体" w:eastAsia="宋体" w:cs="宋体"/>
          <w:lang w:val="en-US" w:eastAsia="zh-CN"/>
        </w:rPr>
      </w:pPr>
    </w:p>
    <w:p>
      <w:pPr>
        <w:pStyle w:val="6"/>
        <w:spacing w:line="348" w:lineRule="auto"/>
        <w:ind w:right="165" w:firstLine="560" w:firstLineChars="200"/>
        <w:rPr>
          <w:rFonts w:hint="eastAsia" w:ascii="宋体" w:hAnsi="宋体" w:eastAsia="宋体" w:cs="宋体"/>
          <w:lang w:val="en-US" w:eastAsia="zh-CN"/>
        </w:rPr>
      </w:pPr>
    </w:p>
    <w:p>
      <w:pPr>
        <w:pStyle w:val="6"/>
        <w:spacing w:line="348" w:lineRule="auto"/>
        <w:ind w:right="165" w:firstLine="560" w:firstLineChars="200"/>
        <w:rPr>
          <w:rFonts w:hint="eastAsia" w:ascii="宋体" w:hAnsi="宋体" w:eastAsia="宋体" w:cs="宋体"/>
          <w:lang w:val="en-US" w:eastAsia="zh-CN"/>
        </w:rPr>
      </w:pPr>
    </w:p>
    <w:p>
      <w:pPr>
        <w:pStyle w:val="6"/>
        <w:spacing w:line="348" w:lineRule="auto"/>
        <w:ind w:right="165" w:firstLine="560" w:firstLineChars="200"/>
        <w:rPr>
          <w:rFonts w:hint="eastAsia" w:ascii="宋体" w:hAnsi="宋体" w:eastAsia="宋体" w:cs="宋体"/>
          <w:lang w:val="en-US" w:eastAsia="zh-CN"/>
        </w:rPr>
      </w:pPr>
    </w:p>
    <w:p>
      <w:pPr>
        <w:keepNext w:val="0"/>
        <w:keepLines w:val="0"/>
        <w:pageBreakBefore/>
        <w:widowControl w:val="0"/>
        <w:kinsoku/>
        <w:wordWrap/>
        <w:overflowPunct/>
        <w:topLinePunct w:val="0"/>
        <w:autoSpaceDE/>
        <w:autoSpaceDN/>
        <w:bidi w:val="0"/>
        <w:adjustRightInd/>
        <w:snapToGrid/>
        <w:textAlignment w:val="auto"/>
        <w:outlineLvl w:val="0"/>
        <w:rPr>
          <w:rFonts w:hint="eastAsia" w:asciiTheme="minorHAnsi" w:eastAsiaTheme="minorEastAsia"/>
          <w:b/>
          <w:bCs/>
          <w:color w:val="auto"/>
          <w:sz w:val="32"/>
          <w:szCs w:val="32"/>
          <w:lang w:val="en-US" w:eastAsia="zh-CN"/>
        </w:rPr>
      </w:pPr>
      <w:bookmarkStart w:id="37" w:name="_Toc19200"/>
      <w:bookmarkStart w:id="38" w:name="_Toc23243"/>
      <w:bookmarkStart w:id="39" w:name="_Toc16191"/>
      <w:r>
        <w:rPr>
          <w:rFonts w:hint="eastAsia" w:asciiTheme="minorHAnsi" w:eastAsiaTheme="minorEastAsia"/>
          <w:b/>
          <w:bCs/>
          <w:color w:val="auto"/>
          <w:sz w:val="32"/>
          <w:szCs w:val="32"/>
          <w:lang w:val="en-US" w:eastAsia="zh-CN"/>
        </w:rPr>
        <w:t>【</w:t>
      </w:r>
      <w:r>
        <w:rPr>
          <w:rFonts w:hint="eastAsia"/>
          <w:b/>
          <w:bCs/>
          <w:color w:val="auto"/>
          <w:sz w:val="32"/>
          <w:szCs w:val="32"/>
          <w:lang w:val="en-US" w:eastAsia="zh-CN"/>
        </w:rPr>
        <w:t>深度报告</w:t>
      </w:r>
      <w:r>
        <w:rPr>
          <w:rFonts w:hint="eastAsia" w:asciiTheme="minorHAnsi" w:eastAsiaTheme="minorEastAsia"/>
          <w:b/>
          <w:bCs/>
          <w:color w:val="auto"/>
          <w:sz w:val="32"/>
          <w:szCs w:val="32"/>
          <w:lang w:val="en-US" w:eastAsia="zh-CN"/>
        </w:rPr>
        <w:t>】</w:t>
      </w:r>
      <w:bookmarkEnd w:id="37"/>
      <w:bookmarkEnd w:id="38"/>
      <w:bookmarkEnd w:id="39"/>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hint="eastAsia" w:ascii="宋体" w:hAnsi="宋体" w:eastAsia="宋体" w:cs="宋体"/>
          <w:b w:val="0"/>
          <w:bCs w:val="0"/>
          <w:i w:val="0"/>
          <w:kern w:val="2"/>
          <w:sz w:val="28"/>
          <w:szCs w:val="28"/>
          <w:lang w:val="en-US" w:eastAsia="zh-CN" w:bidi="ar-SA"/>
        </w:rPr>
      </w:pPr>
      <w:r>
        <w:rPr>
          <w:rFonts w:hint="eastAsia" w:ascii="Microsoft YaHei UI" w:hAnsi="Microsoft YaHei UI" w:eastAsia="Microsoft YaHei UI" w:cs="Microsoft YaHei UI"/>
          <w:i w:val="0"/>
          <w:caps w:val="0"/>
          <w:color w:val="333333"/>
          <w:spacing w:val="8"/>
          <w:sz w:val="25"/>
          <w:szCs w:val="25"/>
          <w:shd w:val="clear" w:fill="FFFFFF"/>
        </w:rPr>
        <w:t>　　</w:t>
      </w:r>
      <w:bookmarkStart w:id="40" w:name="_Toc11180"/>
      <w:bookmarkStart w:id="41" w:name="_Toc28380"/>
      <w:r>
        <w:rPr>
          <w:rFonts w:hint="eastAsia" w:ascii="Microsoft YaHei UI" w:hAnsi="Microsoft YaHei UI" w:eastAsia="Microsoft YaHei UI" w:cs="Microsoft YaHei UI"/>
          <w:i w:val="0"/>
          <w:caps w:val="0"/>
          <w:color w:val="333333"/>
          <w:spacing w:val="8"/>
          <w:sz w:val="33"/>
          <w:szCs w:val="33"/>
          <w:shd w:val="clear" w:fill="FFFFFF"/>
        </w:rPr>
        <w:t>《中国人工智能专利价值及竞争力报告》发布</w:t>
      </w:r>
      <w:bookmarkEnd w:id="40"/>
      <w:bookmarkEnd w:id="41"/>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4"/>
          <w:szCs w:val="24"/>
        </w:rPr>
        <w:t>　　人工智能（Artificial Intelligence，AI）作为引领未来的技术，正在深刻改变着世界，其对科技、产业和社会变革方面的影响和发展的巨大潜力也越来越受到全球范围内人工智能业界的认同。数据显示：2019年前三季度，全球人工智能核心产业市场规模超过520.9亿美元，相较于2018年同比增长32%；中国人工智能核心产业市场规模超过76.7亿美元，相较于2018年同比增长约29.6%。</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4"/>
          <w:szCs w:val="24"/>
        </w:rPr>
        <w:br w:type="textWrapping"/>
      </w:r>
      <w:r>
        <w:rPr>
          <w:rFonts w:hint="eastAsia" w:ascii="宋体" w:hAnsi="宋体" w:eastAsia="宋体" w:cs="宋体"/>
          <w:i w:val="0"/>
          <w:caps w:val="0"/>
          <w:color w:val="000000"/>
          <w:spacing w:val="0"/>
          <w:sz w:val="24"/>
          <w:szCs w:val="24"/>
        </w:rPr>
        <w:t>　　为了抓住人工智能发展的机遇，一些发达国家和地区相继开启了人工智能国家创新计划。例如，美国在2016年至2018年间，分别制定了包括《国家人工智能研究和发展战略计划》《人工智能与国家安全》《人工智能与国家安全：AI生态系统的重要性》等在内的多项人工智能领域的规划，并于2019年6月发布了《2019年国家人工智能研发战略规划》，该战略规划也是对此前奥巴马政府时期制定的美国《人工智能战略》的升级。</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4"/>
          <w:szCs w:val="24"/>
        </w:rPr>
        <w:br w:type="textWrapping"/>
      </w:r>
      <w:r>
        <w:rPr>
          <w:rFonts w:hint="eastAsia" w:ascii="宋体" w:hAnsi="宋体" w:eastAsia="宋体" w:cs="宋体"/>
          <w:i w:val="0"/>
          <w:caps w:val="0"/>
          <w:color w:val="000000"/>
          <w:spacing w:val="0"/>
          <w:sz w:val="24"/>
          <w:szCs w:val="24"/>
        </w:rPr>
        <w:t>　　近年来，我国政府高度重视人工智能的技术进步与产业发展，2017年、2018年及2019年连续三年的政府工作报告中均提到人工智能。与此同时，我国也先后出台多项政策，旨在推动新一代人工智能产业发展，促进人工智能和实体经济深度融合，以确保实现技术与应用总体达到世界领先水平的目标。此外，各省（市、区）也通过一系列政策与资金扶持，不断强化当地人工智能的技术研发与应用，为人工智能产业创造了广阔的发展空间。例如，北京、上海、广东、江苏、浙江等地均出台了多项政策支持人工智能研发。</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4"/>
          <w:szCs w:val="24"/>
        </w:rPr>
        <w:br w:type="textWrapping"/>
      </w:r>
      <w:r>
        <w:rPr>
          <w:rFonts w:hint="eastAsia" w:ascii="宋体" w:hAnsi="宋体" w:eastAsia="宋体" w:cs="宋体"/>
          <w:i w:val="0"/>
          <w:caps w:val="0"/>
          <w:color w:val="000000"/>
          <w:spacing w:val="0"/>
          <w:sz w:val="24"/>
          <w:szCs w:val="24"/>
        </w:rPr>
        <w:t>　　专利是当今世界上最重要的科技信息源之一，而专利信息毫无疑问是反映企业科技创新水平和企业竞争力的重要指标。日前，国家知识产权局知识产权出版社（下称知识产权出版社）i智库发布了《中国人工智能专利价值及竞争力报告》（下称《报告》）。《报告》从中国人工智能领域相关专利状况入手，重点分析了中国人工智能领域高价值专利分布情况，并结合研发实力、技术影响力等指标，对目前中国人工智能专利价值及竞争力情况进行研究分析，形成了“中国人工智能专利价值及竞争力排行榜”，以期较为全面地描绘和勾勒目前中国人工智能领域的知识产权发展情况及竞争态势。</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Style w:val="14"/>
          <w:rFonts w:hint="eastAsia" w:ascii="宋体" w:hAnsi="宋体" w:eastAsia="宋体" w:cs="宋体"/>
          <w:i w:val="0"/>
          <w:caps w:val="0"/>
          <w:color w:val="000000"/>
          <w:spacing w:val="0"/>
          <w:sz w:val="24"/>
          <w:szCs w:val="24"/>
        </w:rPr>
      </w:pPr>
      <w:r>
        <w:rPr>
          <w:rStyle w:val="14"/>
          <w:rFonts w:hint="eastAsia" w:ascii="宋体" w:hAnsi="宋体" w:eastAsia="宋体" w:cs="宋体"/>
          <w:i w:val="0"/>
          <w:caps w:val="0"/>
          <w:color w:val="000000"/>
          <w:spacing w:val="0"/>
          <w:sz w:val="24"/>
          <w:szCs w:val="24"/>
        </w:rPr>
        <w:br w:type="textWrapping"/>
      </w:r>
      <w:r>
        <w:rPr>
          <w:rStyle w:val="14"/>
          <w:rFonts w:hint="eastAsia" w:ascii="宋体" w:hAnsi="宋体" w:eastAsia="宋体" w:cs="宋体"/>
          <w:i w:val="0"/>
          <w:caps w:val="0"/>
          <w:color w:val="000000"/>
          <w:spacing w:val="0"/>
          <w:sz w:val="24"/>
          <w:szCs w:val="24"/>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Style w:val="14"/>
          <w:rFonts w:hint="eastAsia" w:ascii="宋体" w:hAnsi="宋体" w:eastAsia="宋体" w:cs="宋体"/>
          <w:i w:val="0"/>
          <w:caps w:val="0"/>
          <w:color w:val="000000"/>
          <w:spacing w:val="0"/>
          <w:sz w:val="24"/>
          <w:szCs w:val="24"/>
          <w:lang w:eastAsia="zh-CN"/>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Style w:val="14"/>
          <w:rFonts w:hint="eastAsia" w:ascii="宋体" w:hAnsi="宋体" w:eastAsia="宋体" w:cs="宋体"/>
          <w:i w:val="0"/>
          <w:caps w:val="0"/>
          <w:color w:val="000000"/>
          <w:spacing w:val="0"/>
          <w:sz w:val="24"/>
          <w:szCs w:val="24"/>
          <w:lang w:eastAsia="zh-CN"/>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Style w:val="14"/>
          <w:rFonts w:hint="eastAsia" w:ascii="宋体" w:hAnsi="宋体" w:eastAsia="宋体" w:cs="宋体"/>
          <w:i w:val="0"/>
          <w:caps w:val="0"/>
          <w:color w:val="000000"/>
          <w:spacing w:val="0"/>
          <w:sz w:val="24"/>
          <w:szCs w:val="24"/>
          <w:lang w:eastAsia="zh-CN"/>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Style w:val="14"/>
          <w:rFonts w:hint="eastAsia" w:ascii="宋体" w:hAnsi="宋体" w:eastAsia="宋体" w:cs="宋体"/>
          <w:i w:val="0"/>
          <w:caps w:val="0"/>
          <w:color w:val="000000"/>
          <w:spacing w:val="0"/>
          <w:sz w:val="24"/>
          <w:szCs w:val="24"/>
          <w:lang w:eastAsia="zh-CN"/>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Style w:val="14"/>
          <w:rFonts w:hint="eastAsia" w:ascii="宋体" w:hAnsi="宋体" w:eastAsia="宋体" w:cs="宋体"/>
          <w:i w:val="0"/>
          <w:caps w:val="0"/>
          <w:color w:val="000000"/>
          <w:spacing w:val="0"/>
          <w:sz w:val="24"/>
          <w:szCs w:val="24"/>
          <w:lang w:eastAsia="zh-CN"/>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Style w:val="14"/>
          <w:rFonts w:hint="eastAsia" w:ascii="宋体" w:hAnsi="宋体" w:eastAsia="宋体" w:cs="宋体"/>
          <w:i w:val="0"/>
          <w:caps w:val="0"/>
          <w:color w:val="000000"/>
          <w:spacing w:val="0"/>
          <w:sz w:val="24"/>
          <w:szCs w:val="24"/>
          <w:lang w:eastAsia="zh-CN"/>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Style w:val="14"/>
          <w:rFonts w:hint="eastAsia" w:ascii="宋体" w:hAnsi="宋体" w:eastAsia="宋体" w:cs="宋体"/>
          <w:i w:val="0"/>
          <w:caps w:val="0"/>
          <w:color w:val="000000"/>
          <w:spacing w:val="0"/>
          <w:sz w:val="24"/>
          <w:szCs w:val="24"/>
          <w:lang w:eastAsia="zh-CN"/>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Style w:val="14"/>
          <w:rFonts w:hint="eastAsia" w:ascii="宋体" w:hAnsi="宋体" w:eastAsia="宋体" w:cs="宋体"/>
          <w:i w:val="0"/>
          <w:caps w:val="0"/>
          <w:color w:val="000000"/>
          <w:spacing w:val="0"/>
          <w:sz w:val="24"/>
          <w:szCs w:val="24"/>
          <w:lang w:eastAsia="zh-CN"/>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Style w:val="14"/>
          <w:rFonts w:hint="eastAsia" w:ascii="宋体" w:hAnsi="宋体" w:eastAsia="宋体" w:cs="宋体"/>
          <w:i w:val="0"/>
          <w:caps w:val="0"/>
          <w:color w:val="000000"/>
          <w:spacing w:val="0"/>
          <w:sz w:val="24"/>
          <w:szCs w:val="24"/>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宋体" w:hAnsi="宋体" w:eastAsia="宋体" w:cs="宋体"/>
          <w:i w:val="0"/>
          <w:caps w:val="0"/>
          <w:color w:val="000000"/>
          <w:spacing w:val="0"/>
          <w:sz w:val="21"/>
          <w:szCs w:val="21"/>
        </w:rPr>
      </w:pPr>
      <w:r>
        <w:rPr>
          <w:rStyle w:val="14"/>
          <w:rFonts w:hint="eastAsia" w:ascii="宋体" w:hAnsi="宋体" w:eastAsia="宋体" w:cs="宋体"/>
          <w:i w:val="0"/>
          <w:caps w:val="0"/>
          <w:color w:val="000000"/>
          <w:spacing w:val="0"/>
          <w:sz w:val="24"/>
          <w:szCs w:val="24"/>
        </w:rPr>
        <w:t>专利整体态势：中国人工智能专利进入高速发展期，北京地区优势明显</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4"/>
          <w:szCs w:val="24"/>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4"/>
          <w:szCs w:val="24"/>
        </w:rPr>
        <w:drawing>
          <wp:inline distT="0" distB="0" distL="114300" distR="114300">
            <wp:extent cx="5372100" cy="4550410"/>
            <wp:effectExtent l="0" t="0" r="0" b="2540"/>
            <wp:docPr id="14"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IMG_256"/>
                    <pic:cNvPicPr>
                      <a:picLocks noChangeAspect="1"/>
                    </pic:cNvPicPr>
                  </pic:nvPicPr>
                  <pic:blipFill>
                    <a:blip r:embed="rId9"/>
                    <a:stretch>
                      <a:fillRect/>
                    </a:stretch>
                  </pic:blipFill>
                  <pic:spPr>
                    <a:xfrm>
                      <a:off x="0" y="0"/>
                      <a:ext cx="5372100" cy="4550410"/>
                    </a:xfrm>
                    <a:prstGeom prst="rect">
                      <a:avLst/>
                    </a:prstGeom>
                    <a:noFill/>
                    <a:ln w="9525">
                      <a:noFill/>
                    </a:ln>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4"/>
          <w:szCs w:val="24"/>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4"/>
          <w:szCs w:val="24"/>
        </w:rPr>
        <w:drawing>
          <wp:inline distT="0" distB="0" distL="114300" distR="114300">
            <wp:extent cx="5047615" cy="3311525"/>
            <wp:effectExtent l="0" t="0" r="635" b="3175"/>
            <wp:docPr id="16" name="图片 1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descr="IMG_257"/>
                    <pic:cNvPicPr>
                      <a:picLocks noChangeAspect="1"/>
                    </pic:cNvPicPr>
                  </pic:nvPicPr>
                  <pic:blipFill>
                    <a:blip r:embed="rId10"/>
                    <a:stretch>
                      <a:fillRect/>
                    </a:stretch>
                  </pic:blipFill>
                  <pic:spPr>
                    <a:xfrm>
                      <a:off x="0" y="0"/>
                      <a:ext cx="5047615" cy="3311525"/>
                    </a:xfrm>
                    <a:prstGeom prst="rect">
                      <a:avLst/>
                    </a:prstGeom>
                    <a:noFill/>
                    <a:ln w="9525">
                      <a:noFill/>
                    </a:ln>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4"/>
          <w:szCs w:val="24"/>
        </w:rPr>
        <w:br w:type="textWrapping"/>
      </w:r>
      <w:r>
        <w:rPr>
          <w:rFonts w:hint="eastAsia" w:ascii="宋体" w:hAnsi="宋体" w:eastAsia="宋体" w:cs="宋体"/>
          <w:i w:val="0"/>
          <w:caps w:val="0"/>
          <w:color w:val="000000"/>
          <w:spacing w:val="0"/>
          <w:sz w:val="24"/>
          <w:szCs w:val="24"/>
        </w:rPr>
        <w:t>　　截至2019年11月，人工智能领域的中国专利申请量共计9.1838万件。从专利申请趋势来看，2000年之前，该领域中国专利申请量共计562件；2000年至2010年，该领域中国专利申请量平均增速为30.2%；2011年以后，受到人工智能技术的快速更新及政府鼓励等因素的影响，该领域中国专利申请量增长迅速，这一时期国内申请人中国专利申请量占人工智能领域中国专利申请总量的88.5%，专利申请量平均增速为35.9%。总体来说，目前中国人工智能专利申请量正处于快速发展时期。</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4"/>
          <w:szCs w:val="24"/>
        </w:rPr>
        <w:br w:type="textWrapping"/>
      </w:r>
      <w:r>
        <w:rPr>
          <w:rFonts w:hint="eastAsia" w:ascii="宋体" w:hAnsi="宋体" w:eastAsia="宋体" w:cs="宋体"/>
          <w:i w:val="0"/>
          <w:caps w:val="0"/>
          <w:color w:val="000000"/>
          <w:spacing w:val="0"/>
          <w:sz w:val="24"/>
          <w:szCs w:val="24"/>
        </w:rPr>
        <w:t>　　众所周知，专利申请量是衡量一个国家或地区科技创新实力和综合实力的重要指标。一个地区在某个领域的专利申请量可以从一定程度上反映出该地区的科研水平以及创新活跃程度；而专利授权量可以在一定程度上反映一个地区的科研创新能力的强弱。</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4"/>
          <w:szCs w:val="24"/>
        </w:rPr>
        <w:br w:type="textWrapping"/>
      </w:r>
      <w:r>
        <w:rPr>
          <w:rFonts w:hint="eastAsia" w:ascii="宋体" w:hAnsi="宋体" w:eastAsia="宋体" w:cs="宋体"/>
          <w:i w:val="0"/>
          <w:caps w:val="0"/>
          <w:color w:val="000000"/>
          <w:spacing w:val="0"/>
          <w:sz w:val="24"/>
          <w:szCs w:val="24"/>
        </w:rPr>
        <w:t>　　《报告》显示，截至2019年11月，人工智能领域中国专利授权量为2.5431万件，中国申请人的授权量占比为81%，全国所有省级行政地区都拥有人工智能领域的授权专利。其中，北京的专利授权量超过5000件，排名第一，处于第一梯队（专利授权量大于5000件），这与当地经济的快速发展、科研投入及知识产权保护受重视等因素密切相关；包括广东、江苏、上海、浙江在内的4个省（市）的专利授权量超过1000件，构成了第二梯队（专利授权量大于1000件）；包括四川、安徽、山东、湖北、陕西等在内的18个省（市、区）的专利授权量超过100件，构成了第三梯队（专利授权量大于100件）；其余省（市、区）专利授权量则在100件以下。</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Style w:val="14"/>
          <w:rFonts w:hint="eastAsia" w:ascii="宋体" w:hAnsi="宋体" w:eastAsia="宋体" w:cs="宋体"/>
          <w:i w:val="0"/>
          <w:caps w:val="0"/>
          <w:color w:val="000000"/>
          <w:spacing w:val="0"/>
          <w:sz w:val="24"/>
          <w:szCs w:val="24"/>
          <w:lang w:val="en-US" w:eastAsia="zh-CN"/>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Style w:val="14"/>
          <w:rFonts w:hint="eastAsia" w:ascii="宋体" w:hAnsi="宋体" w:eastAsia="宋体" w:cs="宋体"/>
          <w:i w:val="0"/>
          <w:caps w:val="0"/>
          <w:color w:val="000000"/>
          <w:spacing w:val="0"/>
          <w:sz w:val="24"/>
          <w:szCs w:val="24"/>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宋体" w:hAnsi="宋体" w:eastAsia="宋体" w:cs="宋体"/>
          <w:i w:val="0"/>
          <w:caps w:val="0"/>
          <w:color w:val="000000"/>
          <w:spacing w:val="0"/>
          <w:sz w:val="21"/>
          <w:szCs w:val="21"/>
        </w:rPr>
      </w:pPr>
      <w:r>
        <w:rPr>
          <w:rStyle w:val="14"/>
          <w:rFonts w:hint="eastAsia" w:ascii="宋体" w:hAnsi="宋体" w:eastAsia="宋体" w:cs="宋体"/>
          <w:i w:val="0"/>
          <w:caps w:val="0"/>
          <w:color w:val="000000"/>
          <w:spacing w:val="0"/>
          <w:sz w:val="24"/>
          <w:szCs w:val="24"/>
        </w:rPr>
        <w:t>　专利权人与发明人情况：百度公司表现突出，授权专利量与核心发明人团队双双领先</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4"/>
          <w:szCs w:val="24"/>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4"/>
          <w:szCs w:val="24"/>
        </w:rPr>
        <w:drawing>
          <wp:inline distT="0" distB="0" distL="114300" distR="114300">
            <wp:extent cx="3965575" cy="3068320"/>
            <wp:effectExtent l="0" t="0" r="15875" b="17780"/>
            <wp:docPr id="17" name="图片 15"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descr="IMG_258"/>
                    <pic:cNvPicPr>
                      <a:picLocks noChangeAspect="1"/>
                    </pic:cNvPicPr>
                  </pic:nvPicPr>
                  <pic:blipFill>
                    <a:blip r:embed="rId11"/>
                    <a:stretch>
                      <a:fillRect/>
                    </a:stretch>
                  </pic:blipFill>
                  <pic:spPr>
                    <a:xfrm>
                      <a:off x="0" y="0"/>
                      <a:ext cx="3965575" cy="3068320"/>
                    </a:xfrm>
                    <a:prstGeom prst="rect">
                      <a:avLst/>
                    </a:prstGeom>
                    <a:noFill/>
                    <a:ln w="9525">
                      <a:noFill/>
                    </a:ln>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4"/>
          <w:szCs w:val="24"/>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4"/>
          <w:szCs w:val="24"/>
        </w:rPr>
        <w:drawing>
          <wp:inline distT="0" distB="0" distL="114300" distR="114300">
            <wp:extent cx="4885690" cy="3207385"/>
            <wp:effectExtent l="0" t="0" r="10160" b="12065"/>
            <wp:docPr id="18" name="图片 16"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descr="IMG_259"/>
                    <pic:cNvPicPr>
                      <a:picLocks noChangeAspect="1"/>
                    </pic:cNvPicPr>
                  </pic:nvPicPr>
                  <pic:blipFill>
                    <a:blip r:embed="rId12"/>
                    <a:stretch>
                      <a:fillRect/>
                    </a:stretch>
                  </pic:blipFill>
                  <pic:spPr>
                    <a:xfrm>
                      <a:off x="0" y="0"/>
                      <a:ext cx="4885690" cy="3207385"/>
                    </a:xfrm>
                    <a:prstGeom prst="rect">
                      <a:avLst/>
                    </a:prstGeom>
                    <a:noFill/>
                    <a:ln w="9525">
                      <a:noFill/>
                    </a:ln>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4"/>
          <w:szCs w:val="24"/>
        </w:rPr>
        <w:br w:type="textWrapping"/>
      </w:r>
      <w:r>
        <w:rPr>
          <w:rFonts w:hint="eastAsia" w:ascii="宋体" w:hAnsi="宋体" w:eastAsia="宋体" w:cs="宋体"/>
          <w:i w:val="0"/>
          <w:caps w:val="0"/>
          <w:color w:val="000000"/>
          <w:spacing w:val="0"/>
          <w:sz w:val="24"/>
          <w:szCs w:val="24"/>
        </w:rPr>
        <w:t>　　从中国人工智能专利权人TOP10（授权量）构成情况可以看出，百度公司授权量排名第一，授权专利数为658件，微软公司紧随其后，授权量为650件。从一定层面反映出百度以及微软在人工智能领域的创新能力较为突出，对人工智能相关技术领域的引领作用和影响力较强。</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4"/>
          <w:szCs w:val="24"/>
        </w:rPr>
        <w:br w:type="textWrapping"/>
      </w:r>
      <w:r>
        <w:rPr>
          <w:rFonts w:hint="eastAsia" w:ascii="宋体" w:hAnsi="宋体" w:eastAsia="宋体" w:cs="宋体"/>
          <w:i w:val="0"/>
          <w:caps w:val="0"/>
          <w:color w:val="000000"/>
          <w:spacing w:val="0"/>
          <w:sz w:val="24"/>
          <w:szCs w:val="24"/>
        </w:rPr>
        <w:t>　　在专利信息中，发明人是指对发明创造的实质性特点做出创造性贡献的人。某个申请人的发明人分布情况可以从一定程度上反映出该申请人所在研发团队的人员构成情况，因此，可以通过研究专利发明人分布情况了解企业的研发团队情况。</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4"/>
          <w:szCs w:val="24"/>
        </w:rPr>
        <w:br w:type="textWrapping"/>
      </w:r>
      <w:r>
        <w:rPr>
          <w:rFonts w:hint="eastAsia" w:ascii="宋体" w:hAnsi="宋体" w:eastAsia="宋体" w:cs="宋体"/>
          <w:i w:val="0"/>
          <w:caps w:val="0"/>
          <w:color w:val="000000"/>
          <w:spacing w:val="0"/>
          <w:sz w:val="24"/>
          <w:szCs w:val="24"/>
        </w:rPr>
        <w:t>　　《报告》通过知识产权出版社P2I专利价值评价系统对中国人工智能领域的授权专利进行评估，对其中专利价值度分值超过85分且授权专利数量超过10件的58名发明人进行分析。从分析结果来看，这些发明人分别来自于25个专利权人，其中，10个专利权人为高校、2个专利权人为科研机构，其余13个专利权人均为企业。同时，百度公司所拥有的核心技术人员数量达到10人，排名第一，其次为浙江大学，科大讯飞排名第三。这些核心发明人在中国乃至全球人工智能领域都具有一定的影响力，也是中国人工智能技术发展的核心人物的代表。</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4"/>
          <w:szCs w:val="24"/>
        </w:rPr>
        <w:br w:type="textWrapping"/>
      </w:r>
      <w:r>
        <w:rPr>
          <w:rFonts w:hint="eastAsia" w:ascii="宋体" w:hAnsi="宋体" w:eastAsia="宋体" w:cs="宋体"/>
          <w:i w:val="0"/>
          <w:caps w:val="0"/>
          <w:color w:val="000000"/>
          <w:spacing w:val="0"/>
          <w:sz w:val="24"/>
          <w:szCs w:val="24"/>
        </w:rPr>
        <w:t>　　从核心技术人员名单来看，以百度公司王海峰为代表的技术团队实力雄厚。王海峰为百度首席技术官，任深度学习技术及应用国家工程实验室理事长兼主任，同时兼任中国人工智能产业发展联盟、新一代人工智能产业技术创新战略联盟、类脑智能技术及应用国家工程实验室、新一代人工智能战略咨询委员会委员。王海峰曾获国家科技进步奖二等奖一项，中国专利银奖一项，以及首个吴文俊人工智能杰出贡献奖，并当选为人工智能学会会士，享受国务院政府特殊津贴。</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4"/>
          <w:szCs w:val="24"/>
        </w:rPr>
        <w:br w:type="textWrapping"/>
      </w:r>
      <w:r>
        <w:rPr>
          <w:rFonts w:hint="eastAsia" w:ascii="宋体" w:hAnsi="宋体" w:eastAsia="宋体" w:cs="宋体"/>
          <w:i w:val="0"/>
          <w:caps w:val="0"/>
          <w:color w:val="000000"/>
          <w:spacing w:val="0"/>
          <w:sz w:val="24"/>
          <w:szCs w:val="24"/>
        </w:rPr>
        <w:t>　　其他核心发明人有像小i机器人创始人朱频频、科大讯飞创始人之一胡国平等业内专家。其中，胡国平曾参与多项国家高技术研究发展计划（863计划）、国家自然科学基金以及有关省部级重大项目的科研工作；朱频频在人工智能领域拥有多件专利，同时在多个人机交互相关的学术委员会任职。</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Style w:val="14"/>
          <w:rFonts w:hint="eastAsia" w:ascii="宋体" w:hAnsi="宋体" w:eastAsia="宋体" w:cs="宋体"/>
          <w:i w:val="0"/>
          <w:caps w:val="0"/>
          <w:color w:val="000000"/>
          <w:spacing w:val="0"/>
          <w:sz w:val="24"/>
          <w:szCs w:val="24"/>
        </w:rPr>
      </w:pPr>
      <w:r>
        <w:rPr>
          <w:rStyle w:val="14"/>
          <w:rFonts w:hint="eastAsia" w:ascii="宋体" w:hAnsi="宋体" w:eastAsia="宋体" w:cs="宋体"/>
          <w:i w:val="0"/>
          <w:caps w:val="0"/>
          <w:color w:val="000000"/>
          <w:spacing w:val="0"/>
          <w:sz w:val="24"/>
          <w:szCs w:val="24"/>
        </w:rPr>
        <w:br w:type="textWrapping"/>
      </w:r>
      <w:r>
        <w:rPr>
          <w:rStyle w:val="14"/>
          <w:rFonts w:hint="eastAsia" w:ascii="宋体" w:hAnsi="宋体" w:eastAsia="宋体" w:cs="宋体"/>
          <w:i w:val="0"/>
          <w:caps w:val="0"/>
          <w:color w:val="000000"/>
          <w:spacing w:val="0"/>
          <w:sz w:val="24"/>
          <w:szCs w:val="24"/>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宋体" w:hAnsi="宋体" w:eastAsia="宋体" w:cs="宋体"/>
          <w:i w:val="0"/>
          <w:caps w:val="0"/>
          <w:color w:val="000000"/>
          <w:spacing w:val="0"/>
          <w:sz w:val="21"/>
          <w:szCs w:val="21"/>
        </w:rPr>
      </w:pPr>
      <w:r>
        <w:rPr>
          <w:rStyle w:val="14"/>
          <w:rFonts w:hint="eastAsia" w:ascii="宋体" w:hAnsi="宋体" w:eastAsia="宋体" w:cs="宋体"/>
          <w:i w:val="0"/>
          <w:caps w:val="0"/>
          <w:color w:val="000000"/>
          <w:spacing w:val="0"/>
          <w:sz w:val="24"/>
          <w:szCs w:val="24"/>
        </w:rPr>
        <w:t>中国人工智能专利价值及竞争力评价指标体系</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4"/>
          <w:szCs w:val="24"/>
        </w:rPr>
        <w:br w:type="textWrapping"/>
      </w:r>
      <w:r>
        <w:rPr>
          <w:rFonts w:hint="eastAsia" w:ascii="宋体" w:hAnsi="宋体" w:eastAsia="宋体" w:cs="宋体"/>
          <w:i w:val="0"/>
          <w:caps w:val="0"/>
          <w:color w:val="000000"/>
          <w:spacing w:val="0"/>
          <w:sz w:val="24"/>
          <w:szCs w:val="24"/>
        </w:rPr>
        <w:t>　　基于对中国人工智能授权专利态势及价值度分析，结合中国人工智能领域的特点，综合多方面因素考量，经过专家委员会讨论，《报告》构建了“中国人工智能专利价值及竞争力评价指标体系”。该评价指标体系的评价对象主要是中国人工智能相关授权专利的专利权人，包括中国企业、外国企业、高校、科研机构等，统计主体达到8000多个。</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4"/>
          <w:szCs w:val="24"/>
        </w:rPr>
        <w:br w:type="textWrapping"/>
      </w:r>
      <w:r>
        <w:rPr>
          <w:rFonts w:hint="eastAsia" w:ascii="宋体" w:hAnsi="宋体" w:eastAsia="宋体" w:cs="宋体"/>
          <w:i w:val="0"/>
          <w:caps w:val="0"/>
          <w:color w:val="000000"/>
          <w:spacing w:val="0"/>
          <w:sz w:val="24"/>
          <w:szCs w:val="24"/>
        </w:rPr>
        <w:t>　　该评价指标体系的专利数据来源于知识产权出版社CNIPR专利检索平台，专利价值度数据来源于知识产权出版社P2I专利价值评价系统，其他非专利数据采自政府、行业公开信息及相关经济数据以及企业年报、季报、公告等，数据统计的时间截止到2019年11月。</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4"/>
          <w:szCs w:val="24"/>
        </w:rPr>
        <w:br w:type="textWrapping"/>
      </w:r>
      <w:r>
        <w:rPr>
          <w:rFonts w:hint="eastAsia" w:ascii="宋体" w:hAnsi="宋体" w:eastAsia="宋体" w:cs="宋体"/>
          <w:i w:val="0"/>
          <w:caps w:val="0"/>
          <w:color w:val="000000"/>
          <w:spacing w:val="0"/>
          <w:sz w:val="24"/>
          <w:szCs w:val="24"/>
        </w:rPr>
        <w:t>　　该评价指标体系主要从创新主体的研发实力、技术影响力和专利价值度三个方面进行评估，最终选取了10余个统计指标。评估指标总分为100分，采用中位数法统计各项评分，通过数学模型完成综合得分评价。</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4"/>
          <w:szCs w:val="24"/>
        </w:rPr>
        <w:br w:type="textWrapping"/>
      </w:r>
      <w:r>
        <w:rPr>
          <w:rFonts w:hint="eastAsia" w:ascii="宋体" w:hAnsi="宋体" w:eastAsia="宋体" w:cs="宋体"/>
          <w:i w:val="0"/>
          <w:caps w:val="0"/>
          <w:color w:val="000000"/>
          <w:spacing w:val="0"/>
          <w:sz w:val="24"/>
          <w:szCs w:val="24"/>
        </w:rPr>
        <w:t>　　从综合得分区间拉看，得分在90分以上的创新主体仅有2个：百度公司以97.69名列榜首，紧随其后的是微软公司，得分为97.10分。得分在80分至90分之间的创新主体共有3个，分别为腾讯公司、国家电网和浙江大学。得分在60分以下的创新主体占比为43.4%。</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4"/>
          <w:szCs w:val="24"/>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宋体" w:hAnsi="宋体" w:eastAsia="宋体" w:cs="宋体"/>
          <w:i w:val="0"/>
          <w:caps w:val="0"/>
          <w:color w:val="000000"/>
          <w:spacing w:val="0"/>
          <w:sz w:val="21"/>
          <w:szCs w:val="21"/>
        </w:rPr>
      </w:pPr>
      <w:r>
        <w:rPr>
          <w:rFonts w:ascii="宋体" w:hAnsi="宋体" w:eastAsia="宋体" w:cs="宋体"/>
          <w:sz w:val="24"/>
          <w:szCs w:val="24"/>
        </w:rPr>
        <w:drawing>
          <wp:inline distT="0" distB="0" distL="114300" distR="114300">
            <wp:extent cx="4505325" cy="6743700"/>
            <wp:effectExtent l="0" t="0" r="9525" b="0"/>
            <wp:docPr id="24"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descr="IMG_256"/>
                    <pic:cNvPicPr>
                      <a:picLocks noChangeAspect="1"/>
                    </pic:cNvPicPr>
                  </pic:nvPicPr>
                  <pic:blipFill>
                    <a:blip r:embed="rId13"/>
                    <a:stretch>
                      <a:fillRect/>
                    </a:stretch>
                  </pic:blipFill>
                  <pic:spPr>
                    <a:xfrm>
                      <a:off x="0" y="0"/>
                      <a:ext cx="4505325" cy="6743700"/>
                    </a:xfrm>
                    <a:prstGeom prst="rect">
                      <a:avLst/>
                    </a:prstGeom>
                    <a:noFill/>
                    <a:ln w="9525">
                      <a:noFill/>
                    </a:ln>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4"/>
          <w:szCs w:val="24"/>
        </w:rPr>
        <w:br w:type="textWrapping"/>
      </w:r>
      <w:r>
        <w:rPr>
          <w:rFonts w:hint="eastAsia" w:ascii="宋体" w:hAnsi="宋体" w:eastAsia="宋体" w:cs="宋体"/>
          <w:i w:val="0"/>
          <w:caps w:val="0"/>
          <w:color w:val="000000"/>
          <w:spacing w:val="0"/>
          <w:sz w:val="24"/>
          <w:szCs w:val="24"/>
        </w:rPr>
        <w:t>　　从中国人工智能专利价值及竞争力TOP50来看，有28个创新主体为人工智能领域相关企业，另有20所高校和2所中国科学院下属的科研机构。在这28家入围企业中，中国企业和外国企业分别有15家和13家。中国企业的整体分数更加靠前，其中，百度公司、腾讯公司、阿里巴巴集团等几大互联网巨头均进入前十；外国企业中，仅微软公司和IBM公司进入前十，谷歌公司、三星公司、索尼公司、苹果公司等虽然上榜，但整体排名不高。由此可见，中国在人工智能领域的创新主要还是由代表科技创新风向标的互联网企业和代表技术创新孵化器的高校、科研机构共同支撑。（图表数据来源：知识产权出版社i 智库，时间截至2019 年11 月）</w:t>
      </w:r>
    </w:p>
    <w:p>
      <w:pPr>
        <w:pStyle w:val="2"/>
        <w:rPr>
          <w:rFonts w:hint="eastAsia" w:ascii="宋体" w:hAnsi="宋体" w:eastAsia="宋体" w:cs="宋体"/>
          <w:b w:val="0"/>
          <w:bCs w:val="0"/>
          <w:i w:val="0"/>
          <w:kern w:val="2"/>
          <w:sz w:val="28"/>
          <w:szCs w:val="28"/>
          <w:lang w:val="en-US" w:eastAsia="zh-CN" w:bidi="ar-SA"/>
        </w:rPr>
      </w:pPr>
    </w:p>
    <w:p>
      <w:pPr>
        <w:pStyle w:val="2"/>
        <w:jc w:val="right"/>
        <w:rPr>
          <w:rFonts w:hint="eastAsia" w:ascii="宋体" w:hAnsi="宋体" w:eastAsia="宋体" w:cs="宋体"/>
          <w:b w:val="0"/>
          <w:bCs w:val="0"/>
          <w:i w:val="0"/>
          <w:kern w:val="2"/>
          <w:sz w:val="28"/>
          <w:szCs w:val="28"/>
          <w:lang w:val="en-US" w:eastAsia="zh-CN" w:bidi="ar-SA"/>
        </w:rPr>
      </w:pPr>
      <w:r>
        <w:rPr>
          <w:rFonts w:hint="eastAsia" w:ascii="宋体" w:hAnsi="宋体" w:eastAsia="宋体" w:cs="宋体"/>
          <w:b w:val="0"/>
          <w:bCs w:val="0"/>
          <w:i w:val="0"/>
          <w:kern w:val="2"/>
          <w:sz w:val="28"/>
          <w:szCs w:val="28"/>
          <w:lang w:val="en-US" w:eastAsia="zh-CN" w:bidi="ar-SA"/>
        </w:rPr>
        <w:t>（来源于</w:t>
      </w:r>
      <w:r>
        <w:rPr>
          <w:rFonts w:hint="eastAsia" w:ascii="宋体" w:hAnsi="宋体" w:eastAsia="宋体" w:cs="宋体"/>
          <w:i w:val="0"/>
          <w:caps w:val="0"/>
          <w:color w:val="000000"/>
          <w:spacing w:val="0"/>
          <w:sz w:val="24"/>
          <w:szCs w:val="24"/>
        </w:rPr>
        <w:t>中国知识产权报</w:t>
      </w:r>
      <w:r>
        <w:rPr>
          <w:rFonts w:hint="eastAsia" w:ascii="宋体" w:hAnsi="宋体" w:eastAsia="宋体" w:cs="宋体"/>
          <w:i w:val="0"/>
          <w:caps w:val="0"/>
          <w:color w:val="000000"/>
          <w:spacing w:val="0"/>
          <w:sz w:val="24"/>
          <w:szCs w:val="24"/>
          <w:lang w:eastAsia="zh-CN"/>
        </w:rPr>
        <w:t>）</w:t>
      </w:r>
    </w:p>
    <w:p>
      <w:pPr>
        <w:pStyle w:val="2"/>
        <w:rPr>
          <w:rFonts w:hint="eastAsia" w:ascii="宋体" w:hAnsi="宋体" w:eastAsia="宋体" w:cs="宋体"/>
          <w:b w:val="0"/>
          <w:bCs w:val="0"/>
          <w:i w:val="0"/>
          <w:kern w:val="2"/>
          <w:sz w:val="28"/>
          <w:szCs w:val="28"/>
          <w:lang w:val="en-US" w:eastAsia="zh-CN" w:bidi="ar-SA"/>
        </w:rPr>
      </w:pPr>
    </w:p>
    <w:p>
      <w:pPr>
        <w:pStyle w:val="2"/>
        <w:jc w:val="center"/>
        <w:outlineLvl w:val="1"/>
        <w:rPr>
          <w:rFonts w:hint="eastAsia" w:ascii="宋体" w:hAnsi="宋体" w:eastAsia="宋体" w:cs="宋体"/>
          <w:b/>
          <w:bCs/>
          <w:i w:val="0"/>
          <w:kern w:val="2"/>
          <w:sz w:val="28"/>
          <w:szCs w:val="28"/>
          <w:lang w:val="en-US" w:eastAsia="zh-CN" w:bidi="ar-SA"/>
        </w:rPr>
      </w:pPr>
      <w:bookmarkStart w:id="42" w:name="_Toc4826"/>
      <w:bookmarkStart w:id="43" w:name="_Toc3641"/>
      <w:r>
        <w:rPr>
          <w:rFonts w:hint="eastAsia" w:ascii="宋体" w:hAnsi="宋体" w:eastAsia="宋体" w:cs="宋体"/>
          <w:b/>
          <w:bCs/>
          <w:i w:val="0"/>
          <w:kern w:val="2"/>
          <w:sz w:val="28"/>
          <w:szCs w:val="28"/>
          <w:lang w:val="en-US" w:eastAsia="zh-CN" w:bidi="ar-SA"/>
        </w:rPr>
        <mc:AlternateContent>
          <mc:Choice Requires="wps">
            <w:drawing>
              <wp:anchor distT="0" distB="0" distL="114300" distR="114300" simplePos="0" relativeHeight="250307584" behindDoc="1" locked="0" layoutInCell="1" allowOverlap="1">
                <wp:simplePos x="0" y="0"/>
                <wp:positionH relativeFrom="page">
                  <wp:posOffset>752475</wp:posOffset>
                </wp:positionH>
                <wp:positionV relativeFrom="paragraph">
                  <wp:posOffset>-1721485</wp:posOffset>
                </wp:positionV>
                <wp:extent cx="6207125" cy="641350"/>
                <wp:effectExtent l="0" t="0" r="3175" b="6350"/>
                <wp:wrapNone/>
                <wp:docPr id="26" name="矩形 26"/>
                <wp:cNvGraphicFramePr/>
                <a:graphic xmlns:a="http://schemas.openxmlformats.org/drawingml/2006/main">
                  <a:graphicData uri="http://schemas.microsoft.com/office/word/2010/wordprocessingShape">
                    <wps:wsp>
                      <wps:cNvSpPr/>
                      <wps:spPr>
                        <a:xfrm>
                          <a:off x="0" y="0"/>
                          <a:ext cx="6207125" cy="64135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59.25pt;margin-top:-135.55pt;height:50.5pt;width:488.75pt;mso-position-horizontal-relative:page;z-index:-253008896;mso-width-relative:page;mso-height-relative:page;" fillcolor="#FFFFFF" filled="t" stroked="f" coordsize="21600,21600" o:gfxdata="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Ul34Z2gAAAA4BAAAPAAAAAAAAAAEAIAAA&#10;ACIAAABkcnMvZG93bnJldi54bWxQSwECFAAUAAAACACHTuJASAHjPJgBAAATAwAADgAAAAAAAAAB&#10;ACAAAAApAQAAZHJzL2Uyb0RvYy54bWxQSwUGAAAAAAYABgBZAQAAMwUAAAAA&#10;">
                <v:fill on="t" focussize="0,0"/>
                <v:stroke on="f"/>
                <v:imagedata o:title=""/>
                <o:lock v:ext="edit" aspectratio="f"/>
              </v:rect>
            </w:pict>
          </mc:Fallback>
        </mc:AlternateContent>
      </w:r>
      <w:r>
        <w:rPr>
          <w:rFonts w:hint="eastAsia" w:ascii="宋体" w:hAnsi="宋体" w:eastAsia="宋体" w:cs="宋体"/>
          <w:b/>
          <w:bCs/>
          <w:i w:val="0"/>
          <w:kern w:val="2"/>
          <w:sz w:val="28"/>
          <w:szCs w:val="28"/>
          <w:lang w:val="en-US" w:eastAsia="zh-CN" w:bidi="ar-SA"/>
        </w:rPr>
        <w:t>北斗卫星导航系统发展报告（4.0版）</w:t>
      </w:r>
      <w:bookmarkEnd w:id="42"/>
      <w:bookmarkEnd w:id="43"/>
    </w:p>
    <w:p>
      <w:pPr>
        <w:spacing w:before="55"/>
        <w:ind w:left="3692" w:right="0"/>
        <w:jc w:val="left"/>
        <w:outlineLvl w:val="9"/>
        <w:rPr>
          <w:b/>
          <w:bCs/>
          <w:sz w:val="28"/>
          <w:szCs w:val="28"/>
        </w:rPr>
      </w:pPr>
    </w:p>
    <w:p>
      <w:pPr>
        <w:jc w:val="center"/>
        <w:outlineLvl w:val="9"/>
        <w:rPr>
          <w:b/>
          <w:bCs/>
          <w:sz w:val="28"/>
          <w:szCs w:val="28"/>
        </w:rPr>
      </w:pPr>
      <w:r>
        <w:rPr>
          <w:b/>
          <w:bCs/>
          <w:sz w:val="28"/>
          <w:szCs w:val="28"/>
        </w:rPr>
        <w:t>一、系统概述</w:t>
      </w:r>
    </w:p>
    <w:p>
      <w:pPr>
        <w:pStyle w:val="6"/>
        <w:spacing w:before="9"/>
        <w:outlineLvl w:val="9"/>
        <w:rPr>
          <w:rFonts w:ascii="黑体"/>
          <w:sz w:val="38"/>
        </w:rPr>
      </w:pPr>
    </w:p>
    <w:p>
      <w:pPr>
        <w:pStyle w:val="6"/>
        <w:spacing w:line="348" w:lineRule="auto"/>
        <w:ind w:right="165" w:firstLine="560" w:firstLineChars="200"/>
        <w:outlineLvl w:val="9"/>
      </w:pPr>
      <w:r>
        <w:t>中国始终立足于国情国力，坚持“自主、开放、兼容、渐进”的原则， 稳步推进北斗系统建设发展。</w:t>
      </w:r>
    </w:p>
    <w:p>
      <w:pPr>
        <w:jc w:val="center"/>
        <w:outlineLvl w:val="9"/>
        <w:rPr>
          <w:sz w:val="24"/>
          <w:szCs w:val="24"/>
        </w:rPr>
      </w:pPr>
      <w:bookmarkStart w:id="44" w:name="_bookmark1"/>
      <w:bookmarkEnd w:id="44"/>
      <w:bookmarkStart w:id="45" w:name="（一）发展目标"/>
      <w:bookmarkEnd w:id="45"/>
    </w:p>
    <w:p>
      <w:pPr>
        <w:jc w:val="center"/>
        <w:outlineLvl w:val="9"/>
        <w:rPr>
          <w:sz w:val="24"/>
          <w:szCs w:val="24"/>
        </w:rPr>
      </w:pPr>
      <w:r>
        <w:rPr>
          <w:sz w:val="24"/>
          <w:szCs w:val="24"/>
        </w:rPr>
        <w:t>（一）发展目标</w:t>
      </w:r>
    </w:p>
    <w:p>
      <w:pPr>
        <w:pStyle w:val="6"/>
        <w:spacing w:before="7"/>
        <w:outlineLvl w:val="9"/>
        <w:rPr>
          <w:sz w:val="33"/>
        </w:rPr>
      </w:pPr>
    </w:p>
    <w:p>
      <w:pPr>
        <w:pStyle w:val="6"/>
        <w:spacing w:line="348" w:lineRule="auto"/>
        <w:ind w:left="118" w:right="335" w:firstLine="559"/>
        <w:jc w:val="both"/>
        <w:outlineLvl w:val="9"/>
      </w:pPr>
      <w:r>
        <w:t>建设世界一流的卫星导航系统，满足国家安全与经济社会发展需要， 为全球用户提供连续、稳定、可靠服务；发展卫星导航产业，服务经济社会发展和民生改善；深化国际合作，共享卫星导航发展成果，提高全球卫星导航系统的综合应用效益。</w:t>
      </w:r>
    </w:p>
    <w:p>
      <w:pPr>
        <w:spacing w:before="237"/>
        <w:jc w:val="center"/>
        <w:outlineLvl w:val="9"/>
        <w:rPr>
          <w:sz w:val="24"/>
          <w:szCs w:val="24"/>
        </w:rPr>
      </w:pPr>
      <w:bookmarkStart w:id="46" w:name="（二）发展原则"/>
      <w:bookmarkEnd w:id="46"/>
      <w:bookmarkStart w:id="47" w:name="_bookmark2"/>
      <w:bookmarkEnd w:id="47"/>
      <w:r>
        <w:rPr>
          <w:sz w:val="24"/>
          <w:szCs w:val="24"/>
        </w:rPr>
        <w:t>（二）发展原则</w:t>
      </w:r>
    </w:p>
    <w:p>
      <w:pPr>
        <w:pStyle w:val="6"/>
        <w:spacing w:before="7"/>
        <w:outlineLvl w:val="9"/>
        <w:rPr>
          <w:sz w:val="33"/>
        </w:rPr>
      </w:pPr>
    </w:p>
    <w:p>
      <w:pPr>
        <w:pStyle w:val="6"/>
        <w:spacing w:line="348" w:lineRule="auto"/>
        <w:ind w:left="118" w:right="336" w:firstLine="559"/>
        <w:outlineLvl w:val="9"/>
      </w:pPr>
      <w:r>
        <w:rPr>
          <w:rFonts w:ascii="Times New Roman" w:hAnsi="Times New Roman" w:eastAsia="Times New Roman"/>
        </w:rPr>
        <w:t>——</w:t>
      </w:r>
      <w:r>
        <w:t>自主。坚持自主建设、发展和运行北斗系统，具备向全球用户独</w:t>
      </w:r>
      <w:r>
        <w:rPr>
          <w:spacing w:val="-3"/>
        </w:rPr>
        <w:t>立提供卫星导航服务能力。</w:t>
      </w:r>
    </w:p>
    <w:p>
      <w:pPr>
        <w:pStyle w:val="6"/>
        <w:spacing w:before="1" w:line="348" w:lineRule="auto"/>
        <w:ind w:left="118" w:right="336" w:firstLine="559"/>
        <w:outlineLvl w:val="9"/>
      </w:pPr>
      <w:r>
        <w:rPr>
          <w:rFonts w:ascii="Times New Roman" w:hAnsi="Times New Roman" w:eastAsia="Times New Roman"/>
        </w:rPr>
        <w:t>——</w:t>
      </w:r>
      <w:r>
        <w:t>开放。免费提供卫星导航公开服务，鼓励开展全方位、多层次、</w:t>
      </w:r>
      <w:r>
        <w:rPr>
          <w:spacing w:val="-3"/>
        </w:rPr>
        <w:t>高水平的国际交流与合作。</w:t>
      </w:r>
    </w:p>
    <w:p>
      <w:pPr>
        <w:pStyle w:val="6"/>
        <w:spacing w:line="348" w:lineRule="auto"/>
        <w:ind w:left="118" w:right="335" w:firstLine="559"/>
        <w:outlineLvl w:val="9"/>
      </w:pPr>
      <w:r>
        <w:rPr>
          <w:rFonts w:ascii="Times New Roman" w:hAnsi="Times New Roman" w:eastAsia="Times New Roman"/>
        </w:rPr>
        <w:t>——</w:t>
      </w:r>
      <w:r>
        <w:t>兼容。提倡与其他卫星导航系统兼容与互操作，鼓励国际交流与合作，致力于为全球用户提供更好的服务。</w:t>
      </w:r>
    </w:p>
    <w:p>
      <w:pPr>
        <w:pStyle w:val="6"/>
        <w:spacing w:line="348" w:lineRule="auto"/>
        <w:ind w:left="118" w:right="336" w:firstLine="559"/>
        <w:outlineLvl w:val="9"/>
      </w:pPr>
      <w:r>
        <w:rPr>
          <w:rFonts w:ascii="Times New Roman" w:hAnsi="Times New Roman" w:eastAsia="Times New Roman"/>
        </w:rPr>
        <w:t>——</w:t>
      </w:r>
      <w:r>
        <w:t>渐进。分步推进北斗系统建设，持续提升北斗系统服务性能，不</w:t>
      </w:r>
      <w:r>
        <w:rPr>
          <w:spacing w:val="-3"/>
        </w:rPr>
        <w:t>断推动卫星导航产业健康、快速、持续发展。</w:t>
      </w:r>
    </w:p>
    <w:p>
      <w:pPr>
        <w:ind w:left="3603"/>
        <w:jc w:val="left"/>
        <w:outlineLvl w:val="9"/>
        <w:rPr>
          <w:sz w:val="24"/>
          <w:szCs w:val="24"/>
        </w:rPr>
      </w:pPr>
      <w:bookmarkStart w:id="48" w:name="（三）基本组成"/>
      <w:bookmarkEnd w:id="48"/>
      <w:bookmarkStart w:id="49" w:name="_bookmark3"/>
      <w:bookmarkEnd w:id="49"/>
    </w:p>
    <w:p>
      <w:pPr>
        <w:ind w:left="3603"/>
        <w:jc w:val="left"/>
        <w:outlineLvl w:val="9"/>
        <w:rPr>
          <w:sz w:val="24"/>
          <w:szCs w:val="24"/>
        </w:rPr>
      </w:pPr>
      <w:r>
        <w:rPr>
          <w:sz w:val="24"/>
          <w:szCs w:val="24"/>
        </w:rPr>
        <w:t>（三）基本组成</w:t>
      </w:r>
    </w:p>
    <w:p>
      <w:pPr>
        <w:pStyle w:val="6"/>
        <w:spacing w:before="7"/>
        <w:outlineLvl w:val="9"/>
        <w:rPr>
          <w:sz w:val="33"/>
        </w:rPr>
      </w:pPr>
    </w:p>
    <w:p>
      <w:pPr>
        <w:pStyle w:val="6"/>
        <w:ind w:left="677"/>
        <w:outlineLvl w:val="9"/>
      </w:pPr>
      <w:r>
        <w:t>北斗系统由空间段、地面段和用户段三部分组成。</w:t>
      </w:r>
    </w:p>
    <w:p>
      <w:pPr>
        <w:pStyle w:val="6"/>
        <w:spacing w:before="162" w:line="348" w:lineRule="auto"/>
        <w:ind w:left="118" w:right="336" w:firstLine="559"/>
        <w:outlineLvl w:val="9"/>
      </w:pPr>
      <w:r>
        <w:rPr>
          <w:rFonts w:ascii="Times New Roman" w:hAnsi="Times New Roman" w:eastAsia="Times New Roman"/>
        </w:rPr>
        <w:t>——</w:t>
      </w:r>
      <w:r>
        <w:t>空间段由若干颗地球静止轨道卫星、倾斜地球同步轨道卫星和中圆地球轨道卫星等组成。</w:t>
      </w:r>
    </w:p>
    <w:p>
      <w:pPr>
        <w:pStyle w:val="6"/>
        <w:spacing w:before="73" w:line="362" w:lineRule="auto"/>
        <w:ind w:left="118" w:right="335" w:firstLine="559"/>
        <w:outlineLvl w:val="9"/>
      </w:pPr>
      <w:r>
        <w:rPr>
          <w:rFonts w:ascii="Times New Roman" w:hAnsi="Times New Roman" w:eastAsia="Times New Roman"/>
        </w:rPr>
        <w:t>——</w:t>
      </w:r>
      <w:r>
        <w:t>地面段包括主控站、时间同步</w:t>
      </w:r>
      <w:r>
        <w:rPr>
          <w:rFonts w:ascii="Times New Roman" w:hAnsi="Times New Roman" w:eastAsia="Times New Roman"/>
        </w:rPr>
        <w:t>/</w:t>
      </w:r>
      <w:r>
        <w:t>注入站和监测站等若干地面站，以及星间链路运行管理设施。</w:t>
      </w:r>
    </w:p>
    <w:p>
      <w:pPr>
        <w:pStyle w:val="6"/>
        <w:spacing w:line="362" w:lineRule="auto"/>
        <w:ind w:left="118" w:right="336" w:firstLine="559"/>
        <w:outlineLvl w:val="9"/>
      </w:pPr>
      <w:r>
        <w:rPr>
          <w:rFonts w:ascii="Times New Roman" w:hAnsi="Times New Roman" w:eastAsia="Times New Roman"/>
        </w:rPr>
        <w:t>——</w:t>
      </w:r>
      <w:r>
        <w:t>用户段包括北斗及兼容其他卫星导航系统的芯片、模块、天线等基础产品，以及终端设备、应用系统与应用服务等。</w:t>
      </w:r>
    </w:p>
    <w:p>
      <w:pPr>
        <w:ind w:left="3603"/>
        <w:jc w:val="left"/>
        <w:outlineLvl w:val="9"/>
        <w:rPr>
          <w:sz w:val="24"/>
          <w:szCs w:val="24"/>
        </w:rPr>
      </w:pPr>
      <w:bookmarkStart w:id="50" w:name="（四）发展步骤"/>
      <w:bookmarkEnd w:id="50"/>
      <w:bookmarkStart w:id="51" w:name="_bookmark4"/>
      <w:bookmarkEnd w:id="51"/>
    </w:p>
    <w:p>
      <w:pPr>
        <w:ind w:left="3603"/>
        <w:jc w:val="left"/>
        <w:outlineLvl w:val="9"/>
        <w:rPr>
          <w:sz w:val="24"/>
          <w:szCs w:val="24"/>
        </w:rPr>
      </w:pPr>
      <w:r>
        <w:rPr>
          <w:sz w:val="24"/>
          <w:szCs w:val="24"/>
        </w:rPr>
        <w:t>（四）发展步骤</w:t>
      </w:r>
    </w:p>
    <w:p>
      <w:pPr>
        <w:pStyle w:val="6"/>
        <w:spacing w:before="11"/>
        <w:outlineLvl w:val="9"/>
        <w:rPr>
          <w:sz w:val="34"/>
        </w:rPr>
      </w:pPr>
    </w:p>
    <w:p>
      <w:pPr>
        <w:pStyle w:val="6"/>
        <w:spacing w:line="362" w:lineRule="auto"/>
        <w:ind w:left="118" w:right="333" w:firstLine="559"/>
        <w:jc w:val="both"/>
        <w:outlineLvl w:val="9"/>
      </w:pPr>
      <w:r>
        <w:rPr>
          <w:rFonts w:ascii="Times New Roman" w:hAnsi="Times New Roman" w:eastAsia="Times New Roman"/>
        </w:rPr>
        <w:t>——</w:t>
      </w:r>
      <w:r>
        <w:t>第一步，建设北斗一号系统。</w:t>
      </w:r>
      <w:r>
        <w:rPr>
          <w:rFonts w:ascii="Times New Roman" w:hAnsi="Times New Roman" w:eastAsia="Times New Roman"/>
        </w:rPr>
        <w:t xml:space="preserve">1994 </w:t>
      </w:r>
      <w:r>
        <w:t>年，启动北斗一号系统工程建设；</w:t>
      </w:r>
      <w:r>
        <w:rPr>
          <w:rFonts w:ascii="Times New Roman" w:hAnsi="Times New Roman" w:eastAsia="Times New Roman"/>
        </w:rPr>
        <w:t xml:space="preserve">2000 </w:t>
      </w:r>
      <w:r>
        <w:rPr>
          <w:spacing w:val="-13"/>
        </w:rPr>
        <w:t xml:space="preserve">年，发射 </w:t>
      </w:r>
      <w:r>
        <w:rPr>
          <w:rFonts w:ascii="Times New Roman" w:hAnsi="Times New Roman" w:eastAsia="Times New Roman"/>
        </w:rPr>
        <w:t xml:space="preserve">2 </w:t>
      </w:r>
      <w:r>
        <w:t xml:space="preserve">颗地球静止轨道卫星，建成系统并投入使用，采用有源定位体制，为中国用户提供定位、授时、广域差分和短报文通信服务； </w:t>
      </w:r>
      <w:r>
        <w:rPr>
          <w:rFonts w:ascii="Times New Roman" w:hAnsi="Times New Roman" w:eastAsia="Times New Roman"/>
        </w:rPr>
        <w:t xml:space="preserve">2003 </w:t>
      </w:r>
      <w:r>
        <w:rPr>
          <w:spacing w:val="-13"/>
        </w:rPr>
        <w:t xml:space="preserve">年，发射第 </w:t>
      </w:r>
      <w:r>
        <w:rPr>
          <w:rFonts w:ascii="Times New Roman" w:hAnsi="Times New Roman" w:eastAsia="Times New Roman"/>
        </w:rPr>
        <w:t xml:space="preserve">3 </w:t>
      </w:r>
      <w:r>
        <w:rPr>
          <w:spacing w:val="-3"/>
        </w:rPr>
        <w:t>颗地球静止轨道卫星，进一步增强系统性能。</w:t>
      </w:r>
    </w:p>
    <w:p>
      <w:pPr>
        <w:pStyle w:val="6"/>
        <w:spacing w:line="362" w:lineRule="auto"/>
        <w:ind w:left="118" w:right="165" w:firstLine="559"/>
        <w:outlineLvl w:val="9"/>
      </w:pPr>
      <w:r>
        <w:rPr>
          <w:rFonts w:ascii="Times New Roman" w:hAnsi="Times New Roman" w:eastAsia="Times New Roman"/>
        </w:rPr>
        <w:t>——</w:t>
      </w:r>
      <w:r>
        <w:t>第二步，建设北斗二号系统。</w:t>
      </w:r>
      <w:r>
        <w:rPr>
          <w:rFonts w:ascii="Times New Roman" w:hAnsi="Times New Roman" w:eastAsia="Times New Roman"/>
        </w:rPr>
        <w:t xml:space="preserve">2004 </w:t>
      </w:r>
      <w:r>
        <w:t>年，启动北斗二号系统工程建设；</w:t>
      </w:r>
      <w:r>
        <w:rPr>
          <w:rFonts w:ascii="Times New Roman" w:hAnsi="Times New Roman" w:eastAsia="Times New Roman"/>
        </w:rPr>
        <w:t xml:space="preserve">2012 </w:t>
      </w:r>
      <w:r>
        <w:t xml:space="preserve">年，完成 </w:t>
      </w:r>
      <w:r>
        <w:rPr>
          <w:rFonts w:ascii="Times New Roman" w:hAnsi="Times New Roman" w:eastAsia="Times New Roman"/>
        </w:rPr>
        <w:t xml:space="preserve">14 </w:t>
      </w:r>
      <w:r>
        <w:t>颗卫星（</w:t>
      </w:r>
      <w:r>
        <w:rPr>
          <w:rFonts w:ascii="Times New Roman" w:hAnsi="Times New Roman" w:eastAsia="Times New Roman"/>
        </w:rPr>
        <w:t xml:space="preserve">5 </w:t>
      </w:r>
      <w:r>
        <w:t>颗地球静止轨道卫星、</w:t>
      </w:r>
      <w:r>
        <w:rPr>
          <w:rFonts w:ascii="Times New Roman" w:hAnsi="Times New Roman" w:eastAsia="Times New Roman"/>
        </w:rPr>
        <w:t xml:space="preserve">5 </w:t>
      </w:r>
      <w:r>
        <w:t xml:space="preserve">颗倾斜地球同步轨道卫星和 </w:t>
      </w:r>
      <w:r>
        <w:rPr>
          <w:rFonts w:ascii="Times New Roman" w:hAnsi="Times New Roman" w:eastAsia="Times New Roman"/>
        </w:rPr>
        <w:t xml:space="preserve">4 </w:t>
      </w:r>
      <w:r>
        <w:t>颗中圆地球轨道卫星）发射组网。北斗二号系统在兼容北斗一号系统技术体制基础上，增加无源定位体制，为亚太地区用户提供定位、测速、授时和短报文通信服务。</w:t>
      </w:r>
    </w:p>
    <w:p>
      <w:pPr>
        <w:pStyle w:val="6"/>
        <w:spacing w:line="362" w:lineRule="auto"/>
        <w:ind w:left="118" w:right="165" w:firstLine="559"/>
        <w:outlineLvl w:val="9"/>
      </w:pPr>
      <w:r>
        <w:rPr>
          <w:rFonts w:ascii="Times New Roman" w:hAnsi="Times New Roman" w:eastAsia="Times New Roman"/>
        </w:rPr>
        <w:t>——</w:t>
      </w:r>
      <w:r>
        <w:t>第三步，建设北斗三号系统。</w:t>
      </w:r>
      <w:r>
        <w:rPr>
          <w:rFonts w:ascii="Times New Roman" w:hAnsi="Times New Roman" w:eastAsia="Times New Roman"/>
        </w:rPr>
        <w:t xml:space="preserve">2009 </w:t>
      </w:r>
      <w:r>
        <w:t xml:space="preserve">年，启动北斗三号系统建设； </w:t>
      </w:r>
      <w:r>
        <w:rPr>
          <w:rFonts w:ascii="Times New Roman" w:hAnsi="Times New Roman" w:eastAsia="Times New Roman"/>
        </w:rPr>
        <w:t xml:space="preserve">2020 </w:t>
      </w:r>
      <w:r>
        <w:t xml:space="preserve">年将完成 </w:t>
      </w:r>
      <w:r>
        <w:rPr>
          <w:rFonts w:ascii="Times New Roman" w:hAnsi="Times New Roman" w:eastAsia="Times New Roman"/>
        </w:rPr>
        <w:t xml:space="preserve">30 </w:t>
      </w:r>
      <w:r>
        <w:t>颗卫星发射组网，全面建成北斗三号系统。北斗三号系统继承有源服务和无源服务两种技术体制，为全球用户提供定位导航授时、全球短报文通信和国际搜救服务，同时可为中国及周边地区用户提供星基增强、地基增强、精密单点定位和区域短报文通信等服务。</w:t>
      </w:r>
    </w:p>
    <w:p>
      <w:pPr>
        <w:ind w:left="3603"/>
        <w:jc w:val="left"/>
        <w:outlineLvl w:val="9"/>
        <w:rPr>
          <w:sz w:val="24"/>
          <w:szCs w:val="24"/>
        </w:rPr>
      </w:pPr>
      <w:bookmarkStart w:id="52" w:name="_bookmark5"/>
      <w:bookmarkEnd w:id="52"/>
      <w:bookmarkStart w:id="53" w:name="（五）发展特色"/>
      <w:bookmarkEnd w:id="53"/>
    </w:p>
    <w:p>
      <w:pPr>
        <w:ind w:left="3603"/>
        <w:jc w:val="left"/>
        <w:outlineLvl w:val="9"/>
        <w:rPr>
          <w:sz w:val="24"/>
          <w:szCs w:val="24"/>
        </w:rPr>
      </w:pPr>
      <w:r>
        <w:rPr>
          <w:sz w:val="24"/>
          <w:szCs w:val="24"/>
        </w:rPr>
        <w:t>（五）发展特色</w:t>
      </w:r>
    </w:p>
    <w:p>
      <w:pPr>
        <w:pStyle w:val="6"/>
        <w:spacing w:before="9"/>
        <w:outlineLvl w:val="9"/>
        <w:rPr>
          <w:sz w:val="34"/>
        </w:rPr>
      </w:pPr>
    </w:p>
    <w:p>
      <w:pPr>
        <w:pStyle w:val="6"/>
        <w:spacing w:line="362" w:lineRule="auto"/>
        <w:ind w:left="118" w:right="337" w:firstLine="559"/>
        <w:outlineLvl w:val="9"/>
        <w:rPr>
          <w:sz w:val="25"/>
        </w:rPr>
      </w:pPr>
      <w:r>
        <w:t>北斗系统的建设实践，走出了在区域快速形成服务能力、逐步扩展为全球服务的中国特色发展路径，丰富了世界卫星导航事业的发展模式。</w:t>
      </w:r>
    </w:p>
    <w:p>
      <w:pPr>
        <w:pStyle w:val="6"/>
        <w:spacing w:before="62" w:line="362" w:lineRule="auto"/>
        <w:ind w:left="118" w:right="333" w:firstLine="559"/>
        <w:jc w:val="both"/>
        <w:outlineLvl w:val="9"/>
      </w:pPr>
      <w:bookmarkStart w:id="54" w:name="二、建设进展"/>
      <w:bookmarkEnd w:id="54"/>
      <w:r>
        <w:t>北斗系统具有以下特点：一是空间段采用三种轨道卫星组成的混合星座，与其他卫星导航系统相比高轨卫星更多，抗遮挡能力强，尤其在低纬度地区性能优势更为明显。二是提供多个频点的导航信号，能够通过多频信号组合使用等方式提高服务精度。三是创新融合了导航与通信功能，具备定位导航授时、星基增强、地基增强、精密单点定位、短报文通信和国际搜救等多种服务能力。</w:t>
      </w:r>
    </w:p>
    <w:p>
      <w:pPr>
        <w:ind w:left="3603"/>
        <w:jc w:val="left"/>
        <w:outlineLvl w:val="9"/>
        <w:rPr>
          <w:b/>
          <w:bCs/>
          <w:sz w:val="28"/>
          <w:szCs w:val="28"/>
        </w:rPr>
      </w:pPr>
    </w:p>
    <w:p>
      <w:pPr>
        <w:ind w:left="3603"/>
        <w:jc w:val="left"/>
        <w:outlineLvl w:val="9"/>
        <w:rPr>
          <w:b/>
          <w:bCs/>
          <w:sz w:val="28"/>
          <w:szCs w:val="28"/>
        </w:rPr>
      </w:pPr>
      <w:bookmarkStart w:id="55" w:name="_bookmark6"/>
      <w:bookmarkEnd w:id="55"/>
      <w:r>
        <w:rPr>
          <w:b/>
          <w:bCs/>
          <w:sz w:val="28"/>
          <w:szCs w:val="28"/>
        </w:rPr>
        <w:t>二、建设进展</w:t>
      </w:r>
    </w:p>
    <w:p>
      <w:pPr>
        <w:pStyle w:val="6"/>
        <w:outlineLvl w:val="9"/>
        <w:rPr>
          <w:rFonts w:ascii="黑体"/>
          <w:sz w:val="38"/>
        </w:rPr>
      </w:pPr>
    </w:p>
    <w:p>
      <w:pPr>
        <w:pStyle w:val="6"/>
        <w:spacing w:line="340" w:lineRule="auto"/>
        <w:ind w:left="118" w:right="333" w:firstLine="559"/>
        <w:jc w:val="both"/>
        <w:outlineLvl w:val="9"/>
      </w:pPr>
      <w:r>
        <w:rPr>
          <w:rFonts w:ascii="Times New Roman" w:eastAsia="Times New Roman"/>
        </w:rPr>
        <w:t xml:space="preserve">2019 </w:t>
      </w:r>
      <w:r>
        <w:t xml:space="preserve">年年底，完成 </w:t>
      </w:r>
      <w:r>
        <w:rPr>
          <w:rFonts w:ascii="Times New Roman" w:eastAsia="Times New Roman"/>
        </w:rPr>
        <w:t xml:space="preserve">24 </w:t>
      </w:r>
      <w:r>
        <w:t>颗中圆地球轨道北斗三号卫星发射，标志着北斗三号系统全球服务核心星座部署完成，系统服务性能和用户体验全面提升，世界各地均可享受到北斗系统服务。</w:t>
      </w:r>
    </w:p>
    <w:p>
      <w:pPr>
        <w:pStyle w:val="6"/>
        <w:spacing w:line="340" w:lineRule="auto"/>
        <w:ind w:left="118" w:right="333" w:firstLine="559"/>
        <w:jc w:val="both"/>
        <w:outlineLvl w:val="9"/>
      </w:pPr>
    </w:p>
    <w:p>
      <w:pPr>
        <w:ind w:left="3603"/>
        <w:jc w:val="left"/>
        <w:outlineLvl w:val="9"/>
        <w:rPr>
          <w:sz w:val="24"/>
          <w:szCs w:val="24"/>
        </w:rPr>
      </w:pPr>
      <w:bookmarkStart w:id="56" w:name="（一）工程建设"/>
      <w:bookmarkEnd w:id="56"/>
      <w:bookmarkStart w:id="57" w:name="_bookmark7"/>
      <w:bookmarkEnd w:id="57"/>
      <w:r>
        <w:rPr>
          <w:sz w:val="24"/>
          <w:szCs w:val="24"/>
        </w:rPr>
        <w:t>（一）工程建设</w:t>
      </w:r>
    </w:p>
    <w:p>
      <w:pPr>
        <w:pStyle w:val="6"/>
        <w:outlineLvl w:val="9"/>
        <w:rPr>
          <w:sz w:val="33"/>
        </w:rPr>
      </w:pPr>
    </w:p>
    <w:p>
      <w:pPr>
        <w:pStyle w:val="6"/>
        <w:spacing w:line="340" w:lineRule="auto"/>
        <w:ind w:left="118" w:right="335" w:firstLine="559"/>
        <w:jc w:val="both"/>
        <w:outlineLvl w:val="9"/>
      </w:pPr>
      <w:r>
        <w:rPr>
          <w:rFonts w:ascii="Times New Roman" w:hAnsi="Times New Roman" w:eastAsia="Times New Roman"/>
        </w:rPr>
        <w:t>——</w:t>
      </w:r>
      <w:r>
        <w:rPr>
          <w:spacing w:val="-4"/>
        </w:rPr>
        <w:t xml:space="preserve">空间段全球组网进展顺利。截至 </w:t>
      </w:r>
      <w:r>
        <w:rPr>
          <w:rFonts w:ascii="Times New Roman" w:hAnsi="Times New Roman" w:eastAsia="Times New Roman"/>
        </w:rPr>
        <w:t xml:space="preserve">2019 </w:t>
      </w:r>
      <w:r>
        <w:rPr>
          <w:spacing w:val="-27"/>
        </w:rPr>
        <w:t xml:space="preserve">年 </w:t>
      </w:r>
      <w:r>
        <w:rPr>
          <w:rFonts w:ascii="Times New Roman" w:hAnsi="Times New Roman" w:eastAsia="Times New Roman"/>
        </w:rPr>
        <w:t xml:space="preserve">12 </w:t>
      </w:r>
      <w:r>
        <w:t>月底，已成功发射了</w:t>
      </w:r>
      <w:r>
        <w:rPr>
          <w:rFonts w:ascii="Times New Roman" w:hAnsi="Times New Roman" w:eastAsia="Times New Roman"/>
        </w:rPr>
        <w:t xml:space="preserve">28 </w:t>
      </w:r>
      <w:r>
        <w:t>颗北斗三号卫星（其中，</w:t>
      </w:r>
      <w:r>
        <w:rPr>
          <w:rFonts w:ascii="Times New Roman" w:hAnsi="Times New Roman" w:eastAsia="Times New Roman"/>
        </w:rPr>
        <w:t xml:space="preserve">1 </w:t>
      </w:r>
      <w:r>
        <w:t>颗地球静止轨道卫星、</w:t>
      </w:r>
      <w:r>
        <w:rPr>
          <w:rFonts w:ascii="Times New Roman" w:hAnsi="Times New Roman" w:eastAsia="Times New Roman"/>
        </w:rPr>
        <w:t xml:space="preserve">24 </w:t>
      </w:r>
      <w:r>
        <w:t>颗中圆地球轨道卫</w:t>
      </w:r>
      <w:r>
        <w:rPr>
          <w:spacing w:val="-1"/>
          <w:w w:val="100"/>
        </w:rPr>
        <w:t>星、</w:t>
      </w:r>
      <w:r>
        <w:rPr>
          <w:rFonts w:ascii="Times New Roman" w:hAnsi="Times New Roman" w:eastAsia="Times New Roman"/>
          <w:w w:val="100"/>
        </w:rPr>
        <w:t>3</w:t>
      </w:r>
      <w:r>
        <w:rPr>
          <w:rFonts w:ascii="Times New Roman" w:hAnsi="Times New Roman" w:eastAsia="Times New Roman"/>
        </w:rPr>
        <w:t xml:space="preserve"> </w:t>
      </w:r>
      <w:r>
        <w:rPr>
          <w:spacing w:val="-1"/>
          <w:w w:val="100"/>
        </w:rPr>
        <w:t>颗倾斜地球同步轨道卫星</w:t>
      </w:r>
      <w:r>
        <w:rPr>
          <w:spacing w:val="-140"/>
          <w:w w:val="100"/>
        </w:rPr>
        <w:t>）</w:t>
      </w:r>
      <w:r>
        <w:rPr>
          <w:spacing w:val="-1"/>
          <w:w w:val="100"/>
        </w:rPr>
        <w:t>；构建了稳定可靠的星间链路，实现星间</w:t>
      </w:r>
      <w:r>
        <w:rPr>
          <w:spacing w:val="-3"/>
        </w:rPr>
        <w:t>星地联合组网。</w:t>
      </w:r>
    </w:p>
    <w:p>
      <w:pPr>
        <w:pStyle w:val="6"/>
        <w:spacing w:before="2" w:line="340" w:lineRule="auto"/>
        <w:ind w:left="118" w:right="335" w:firstLine="559"/>
        <w:jc w:val="both"/>
        <w:outlineLvl w:val="9"/>
      </w:pPr>
      <w:r>
        <w:rPr>
          <w:rFonts w:ascii="Times New Roman" w:hAnsi="Times New Roman" w:eastAsia="Times New Roman"/>
        </w:rPr>
        <w:t>——</w:t>
      </w:r>
      <w:r>
        <w:t>地面段实施了升级改造。北斗三号系统建立了高精度时间和空间基准，增加了星间链路运行管理设施，实现了基于星地和星间链路联合观测的卫星轨道和钟差测定，具备定位导航授时服务能力；同时，开展了短报文通信、国际搜救、星基增强、地基增强、精密单点定位等服务的地面设施建设。</w:t>
      </w:r>
    </w:p>
    <w:p>
      <w:pPr>
        <w:pStyle w:val="6"/>
        <w:spacing w:before="2" w:line="340" w:lineRule="auto"/>
        <w:ind w:left="118" w:right="335" w:firstLine="559"/>
        <w:jc w:val="both"/>
        <w:outlineLvl w:val="9"/>
      </w:pPr>
    </w:p>
    <w:p>
      <w:pPr>
        <w:ind w:left="3603"/>
        <w:jc w:val="left"/>
        <w:outlineLvl w:val="9"/>
        <w:rPr>
          <w:sz w:val="24"/>
          <w:szCs w:val="24"/>
        </w:rPr>
      </w:pPr>
      <w:bookmarkStart w:id="58" w:name="（二）系统运行"/>
      <w:bookmarkEnd w:id="58"/>
      <w:bookmarkStart w:id="59" w:name="_bookmark8"/>
      <w:bookmarkEnd w:id="59"/>
      <w:r>
        <w:rPr>
          <w:sz w:val="24"/>
          <w:szCs w:val="24"/>
        </w:rPr>
        <w:t>（二）系统运行</w:t>
      </w:r>
    </w:p>
    <w:p>
      <w:pPr>
        <w:pStyle w:val="6"/>
        <w:spacing w:before="12"/>
        <w:outlineLvl w:val="9"/>
        <w:rPr>
          <w:sz w:val="32"/>
        </w:rPr>
      </w:pPr>
    </w:p>
    <w:p>
      <w:pPr>
        <w:pStyle w:val="6"/>
        <w:spacing w:line="340" w:lineRule="auto"/>
        <w:ind w:left="118" w:right="343" w:firstLine="576"/>
        <w:jc w:val="both"/>
        <w:outlineLvl w:val="9"/>
      </w:pPr>
      <w:r>
        <w:rPr>
          <w:rFonts w:ascii="Times New Roman" w:hAnsi="Times New Roman" w:eastAsia="Times New Roman"/>
        </w:rPr>
        <w:t>——</w:t>
      </w:r>
      <w:r>
        <w:t>健全稳定运行责任体系。完善北斗系统空间段、地面段、用户段多方联动的常态化机制，完善卫星自主健康管理和故障处置能力，不断提高大型星座系统的运行管理保障能力，推动系统稳定运行工作向智能化发展。</w:t>
      </w:r>
    </w:p>
    <w:p>
      <w:pPr>
        <w:pStyle w:val="6"/>
        <w:spacing w:before="2" w:line="340" w:lineRule="auto"/>
        <w:ind w:left="118" w:right="335" w:firstLine="559"/>
        <w:jc w:val="both"/>
        <w:outlineLvl w:val="9"/>
        <w:rPr>
          <w:rFonts w:ascii="Times New Roman" w:hAnsi="Times New Roman" w:eastAsia="Times New Roman" w:cs="宋体"/>
        </w:rPr>
      </w:pPr>
      <w:r>
        <w:rPr>
          <w:rFonts w:ascii="Times New Roman" w:hAnsi="Times New Roman" w:eastAsia="Times New Roman" w:cs="宋体"/>
        </w:rPr>
        <w:t>——实现系统服务平稳接续。北斗三号系统向前兼容北斗二号系统， 能够向用户提供连续、稳定、可靠服务。</w:t>
      </w:r>
    </w:p>
    <w:p>
      <w:pPr>
        <w:pStyle w:val="6"/>
        <w:spacing w:before="2" w:line="340" w:lineRule="auto"/>
        <w:ind w:left="118" w:right="335" w:firstLine="559"/>
        <w:jc w:val="both"/>
        <w:outlineLvl w:val="9"/>
        <w:rPr>
          <w:rFonts w:ascii="Times New Roman" w:hAnsi="Times New Roman" w:eastAsia="Times New Roman" w:cs="宋体"/>
        </w:rPr>
      </w:pPr>
      <w:r>
        <w:rPr>
          <w:rFonts w:ascii="Times New Roman" w:hAnsi="Times New Roman" w:eastAsia="Times New Roman" w:cs="宋体"/>
        </w:rPr>
        <w:t>——创新风险防控管理措施。采用卫星在轨、地面备份策略，避免和降低卫星突发在轨故障对系统服务性能的影响；采用地面设施的冗余设计， 着力消除薄弱环节，增强系统可靠性。</w:t>
      </w:r>
    </w:p>
    <w:p>
      <w:pPr>
        <w:pStyle w:val="6"/>
        <w:spacing w:before="9" w:line="348" w:lineRule="auto"/>
        <w:ind w:left="118" w:right="335" w:firstLine="559"/>
        <w:jc w:val="both"/>
        <w:outlineLvl w:val="9"/>
      </w:pPr>
      <w:r>
        <w:rPr>
          <w:rFonts w:ascii="Times New Roman" w:hAnsi="Times New Roman" w:eastAsia="Times New Roman"/>
        </w:rPr>
        <w:t>——</w:t>
      </w:r>
      <w:r>
        <w:t>保持高精度时空基准，推动与其他卫星导航系统时间坐标框架的</w:t>
      </w:r>
      <w:r>
        <w:rPr>
          <w:spacing w:val="7"/>
          <w:w w:val="100"/>
        </w:rPr>
        <w:t>互操作。北斗系统时间基准（北斗时</w:t>
      </w:r>
      <w:r>
        <w:rPr>
          <w:spacing w:val="-133"/>
          <w:w w:val="100"/>
        </w:rPr>
        <w:t>）</w:t>
      </w:r>
      <w:r>
        <w:rPr>
          <w:spacing w:val="5"/>
          <w:w w:val="100"/>
        </w:rPr>
        <w:t>，溯源于协调世界时，采用国际单</w:t>
      </w:r>
      <w:r>
        <w:rPr>
          <w:spacing w:val="-2"/>
        </w:rPr>
        <w:t>位制</w:t>
      </w:r>
      <w:r>
        <w:t>（</w:t>
      </w:r>
      <w:r>
        <w:rPr>
          <w:rFonts w:ascii="Times New Roman" w:hAnsi="Times New Roman" w:eastAsia="Times New Roman"/>
        </w:rPr>
        <w:t>SI</w:t>
      </w:r>
      <w:r>
        <w:t>）</w:t>
      </w:r>
      <w:r>
        <w:rPr>
          <w:spacing w:val="-7"/>
        </w:rPr>
        <w:t xml:space="preserve">秒为基本单位连续累计，不闰秒，起始历元为 </w:t>
      </w:r>
      <w:r>
        <w:rPr>
          <w:rFonts w:ascii="Times New Roman" w:hAnsi="Times New Roman" w:eastAsia="Times New Roman"/>
        </w:rPr>
        <w:t xml:space="preserve">2006 </w:t>
      </w:r>
      <w:r>
        <w:rPr>
          <w:spacing w:val="-36"/>
        </w:rPr>
        <w:t xml:space="preserve">年 </w:t>
      </w:r>
      <w:r>
        <w:rPr>
          <w:rFonts w:ascii="Times New Roman" w:hAnsi="Times New Roman" w:eastAsia="Times New Roman"/>
        </w:rPr>
        <w:t xml:space="preserve">1 </w:t>
      </w:r>
      <w:r>
        <w:rPr>
          <w:spacing w:val="-35"/>
        </w:rPr>
        <w:t xml:space="preserve">月 </w:t>
      </w:r>
      <w:r>
        <w:rPr>
          <w:rFonts w:ascii="Times New Roman" w:hAnsi="Times New Roman" w:eastAsia="Times New Roman"/>
        </w:rPr>
        <w:t xml:space="preserve">1 </w:t>
      </w:r>
      <w:r>
        <w:t>日协调世界时（</w:t>
      </w:r>
      <w:r>
        <w:rPr>
          <w:rFonts w:ascii="Times New Roman" w:eastAsia="Times New Roman"/>
        </w:rPr>
        <w:t>UTC</w:t>
      </w:r>
      <w:r>
        <w:t>）</w:t>
      </w:r>
      <w:r>
        <w:rPr>
          <w:rFonts w:ascii="Times New Roman" w:eastAsia="Times New Roman"/>
        </w:rPr>
        <w:t xml:space="preserve">00 </w:t>
      </w:r>
      <w:r>
        <w:rPr>
          <w:spacing w:val="-34"/>
        </w:rPr>
        <w:t xml:space="preserve">时 </w:t>
      </w:r>
      <w:r>
        <w:rPr>
          <w:rFonts w:ascii="Times New Roman" w:eastAsia="Times New Roman"/>
        </w:rPr>
        <w:t xml:space="preserve">00 </w:t>
      </w:r>
      <w:r>
        <w:rPr>
          <w:spacing w:val="-34"/>
        </w:rPr>
        <w:t xml:space="preserve">分 </w:t>
      </w:r>
      <w:r>
        <w:rPr>
          <w:rFonts w:ascii="Times New Roman" w:eastAsia="Times New Roman"/>
        </w:rPr>
        <w:t xml:space="preserve">00 </w:t>
      </w:r>
      <w:r>
        <w:t>秒。北斗时通过中国科学院国家授时中</w:t>
      </w:r>
      <w:r>
        <w:rPr>
          <w:spacing w:val="-13"/>
        </w:rPr>
        <w:t xml:space="preserve">心保持的 </w:t>
      </w:r>
      <w:r>
        <w:rPr>
          <w:rFonts w:ascii="Times New Roman" w:eastAsia="Times New Roman"/>
        </w:rPr>
        <w:t>UTC</w:t>
      </w:r>
      <w:r>
        <w:rPr>
          <w:spacing w:val="-20"/>
        </w:rPr>
        <w:t xml:space="preserve">，即 </w:t>
      </w:r>
      <w:r>
        <w:rPr>
          <w:rFonts w:ascii="Times New Roman" w:eastAsia="Times New Roman"/>
        </w:rPr>
        <w:t>UTC</w:t>
      </w:r>
      <w:r>
        <w:t>（</w:t>
      </w:r>
      <w:r>
        <w:rPr>
          <w:rFonts w:ascii="Times New Roman" w:eastAsia="Times New Roman"/>
        </w:rPr>
        <w:t>NTSC</w:t>
      </w:r>
      <w:r>
        <w:t>）</w:t>
      </w:r>
      <w:r>
        <w:rPr>
          <w:spacing w:val="-15"/>
        </w:rPr>
        <w:t xml:space="preserve">与国际 </w:t>
      </w:r>
      <w:r>
        <w:rPr>
          <w:rFonts w:ascii="Times New Roman" w:eastAsia="Times New Roman"/>
        </w:rPr>
        <w:t xml:space="preserve">UTC </w:t>
      </w:r>
      <w:r>
        <w:rPr>
          <w:spacing w:val="-9"/>
        </w:rPr>
        <w:t xml:space="preserve">建立联系，与 </w:t>
      </w:r>
      <w:r>
        <w:rPr>
          <w:rFonts w:ascii="Times New Roman" w:eastAsia="Times New Roman"/>
        </w:rPr>
        <w:t xml:space="preserve">UTC </w:t>
      </w:r>
      <w:r>
        <w:rPr>
          <w:spacing w:val="1"/>
        </w:rPr>
        <w:t>的偏差</w:t>
      </w:r>
      <w:r>
        <w:rPr>
          <w:spacing w:val="5"/>
          <w:w w:val="100"/>
        </w:rPr>
        <w:t>保持在</w:t>
      </w:r>
      <w:r>
        <w:rPr>
          <w:spacing w:val="-66"/>
        </w:rPr>
        <w:t xml:space="preserve"> </w:t>
      </w:r>
      <w:r>
        <w:rPr>
          <w:rFonts w:ascii="Times New Roman" w:eastAsia="Times New Roman"/>
          <w:spacing w:val="1"/>
          <w:w w:val="100"/>
        </w:rPr>
        <w:t>5</w:t>
      </w:r>
      <w:r>
        <w:rPr>
          <w:rFonts w:ascii="Times New Roman" w:eastAsia="Times New Roman"/>
          <w:w w:val="100"/>
        </w:rPr>
        <w:t>0</w:t>
      </w:r>
      <w:r>
        <w:rPr>
          <w:rFonts w:ascii="Times New Roman" w:eastAsia="Times New Roman"/>
        </w:rPr>
        <w:t xml:space="preserve"> </w:t>
      </w:r>
      <w:r>
        <w:rPr>
          <w:spacing w:val="7"/>
          <w:w w:val="100"/>
        </w:rPr>
        <w:t>纳秒以内（</w:t>
      </w:r>
      <w:r>
        <w:rPr>
          <w:w w:val="100"/>
        </w:rPr>
        <w:t>模</w:t>
      </w:r>
      <w:r>
        <w:rPr>
          <w:spacing w:val="-61"/>
        </w:rPr>
        <w:t xml:space="preserve"> </w:t>
      </w:r>
      <w:r>
        <w:rPr>
          <w:rFonts w:ascii="Times New Roman" w:eastAsia="Times New Roman"/>
          <w:w w:val="100"/>
        </w:rPr>
        <w:t>1</w:t>
      </w:r>
      <w:r>
        <w:rPr>
          <w:rFonts w:ascii="Times New Roman" w:eastAsia="Times New Roman"/>
        </w:rPr>
        <w:t xml:space="preserve"> </w:t>
      </w:r>
      <w:r>
        <w:rPr>
          <w:spacing w:val="7"/>
          <w:w w:val="100"/>
        </w:rPr>
        <w:t>秒</w:t>
      </w:r>
      <w:r>
        <w:rPr>
          <w:spacing w:val="-133"/>
          <w:w w:val="100"/>
        </w:rPr>
        <w:t>）</w:t>
      </w:r>
      <w:r>
        <w:rPr>
          <w:spacing w:val="5"/>
          <w:w w:val="100"/>
        </w:rPr>
        <w:t>，北斗时与</w:t>
      </w:r>
      <w:r>
        <w:rPr>
          <w:spacing w:val="-61"/>
        </w:rPr>
        <w:t xml:space="preserve"> </w:t>
      </w:r>
      <w:r>
        <w:rPr>
          <w:rFonts w:ascii="Times New Roman" w:eastAsia="Times New Roman"/>
          <w:spacing w:val="-2"/>
          <w:w w:val="100"/>
        </w:rPr>
        <w:t>UT</w:t>
      </w:r>
      <w:r>
        <w:rPr>
          <w:rFonts w:ascii="Times New Roman" w:eastAsia="Times New Roman"/>
          <w:w w:val="100"/>
        </w:rPr>
        <w:t>C</w:t>
      </w:r>
      <w:r>
        <w:rPr>
          <w:rFonts w:ascii="Times New Roman" w:eastAsia="Times New Roman"/>
        </w:rPr>
        <w:t xml:space="preserve"> </w:t>
      </w:r>
      <w:r>
        <w:rPr>
          <w:spacing w:val="6"/>
          <w:w w:val="100"/>
        </w:rPr>
        <w:t>之间的跳秒信息在导航电</w:t>
      </w:r>
      <w:r>
        <w:rPr>
          <w:spacing w:val="-1"/>
          <w:w w:val="100"/>
        </w:rPr>
        <w:t>文中发播。北斗系统采用北斗坐标系（</w:t>
      </w:r>
      <w:r>
        <w:rPr>
          <w:rFonts w:ascii="Times New Roman" w:eastAsia="Times New Roman"/>
          <w:spacing w:val="-1"/>
          <w:w w:val="100"/>
        </w:rPr>
        <w:t>B</w:t>
      </w:r>
      <w:r>
        <w:rPr>
          <w:rFonts w:ascii="Times New Roman" w:eastAsia="Times New Roman"/>
          <w:spacing w:val="-2"/>
          <w:w w:val="100"/>
        </w:rPr>
        <w:t>D</w:t>
      </w:r>
      <w:r>
        <w:rPr>
          <w:rFonts w:ascii="Times New Roman" w:eastAsia="Times New Roman"/>
          <w:spacing w:val="-1"/>
          <w:w w:val="100"/>
        </w:rPr>
        <w:t>C</w:t>
      </w:r>
      <w:r>
        <w:rPr>
          <w:rFonts w:ascii="Times New Roman" w:eastAsia="Times New Roman"/>
          <w:spacing w:val="2"/>
          <w:w w:val="100"/>
        </w:rPr>
        <w:t>S</w:t>
      </w:r>
      <w:r>
        <w:rPr>
          <w:spacing w:val="-140"/>
          <w:w w:val="100"/>
        </w:rPr>
        <w:t>）</w:t>
      </w:r>
      <w:r>
        <w:rPr>
          <w:w w:val="100"/>
        </w:rPr>
        <w:t>，坐标系定义符合国际地球</w:t>
      </w:r>
      <w:r>
        <w:t>自转服务组织（</w:t>
      </w:r>
      <w:r>
        <w:rPr>
          <w:rFonts w:ascii="Times New Roman" w:eastAsia="Times New Roman"/>
        </w:rPr>
        <w:t>IERS</w:t>
      </w:r>
      <w:r>
        <w:t>）</w:t>
      </w:r>
      <w:r>
        <w:rPr>
          <w:spacing w:val="-12"/>
        </w:rPr>
        <w:t xml:space="preserve">规范，采用 </w:t>
      </w:r>
      <w:r>
        <w:rPr>
          <w:rFonts w:ascii="Times New Roman" w:eastAsia="Times New Roman"/>
        </w:rPr>
        <w:t xml:space="preserve">2000 </w:t>
      </w:r>
      <w:r>
        <w:t>中国大地坐标系（</w:t>
      </w:r>
      <w:r>
        <w:rPr>
          <w:rFonts w:ascii="Times New Roman" w:eastAsia="Times New Roman"/>
        </w:rPr>
        <w:t>CGCS2000</w:t>
      </w:r>
      <w:r>
        <w:t>）的</w:t>
      </w:r>
      <w:r>
        <w:rPr>
          <w:spacing w:val="-3"/>
          <w:w w:val="100"/>
        </w:rPr>
        <w:t>参考椭球参数，对准于最新的国际地球参考框架（</w:t>
      </w:r>
      <w:r>
        <w:rPr>
          <w:rFonts w:ascii="Times New Roman" w:eastAsia="Times New Roman"/>
          <w:w w:val="100"/>
        </w:rPr>
        <w:t>I</w:t>
      </w:r>
      <w:r>
        <w:rPr>
          <w:rFonts w:ascii="Times New Roman" w:eastAsia="Times New Roman"/>
          <w:spacing w:val="-2"/>
          <w:w w:val="100"/>
        </w:rPr>
        <w:t>T</w:t>
      </w:r>
      <w:r>
        <w:rPr>
          <w:rFonts w:ascii="Times New Roman" w:eastAsia="Times New Roman"/>
          <w:spacing w:val="-1"/>
          <w:w w:val="100"/>
        </w:rPr>
        <w:t>RF</w:t>
      </w:r>
      <w:r>
        <w:rPr>
          <w:spacing w:val="-142"/>
          <w:w w:val="100"/>
        </w:rPr>
        <w:t>）</w:t>
      </w:r>
      <w:r>
        <w:rPr>
          <w:spacing w:val="-3"/>
          <w:w w:val="100"/>
        </w:rPr>
        <w:t>，每年更新一次。</w:t>
      </w:r>
    </w:p>
    <w:p>
      <w:pPr>
        <w:pStyle w:val="6"/>
        <w:spacing w:line="348" w:lineRule="auto"/>
        <w:ind w:left="118" w:right="333" w:firstLine="559"/>
        <w:jc w:val="both"/>
        <w:outlineLvl w:val="9"/>
        <w:rPr>
          <w:spacing w:val="-3"/>
        </w:rPr>
      </w:pPr>
      <w:r>
        <w:rPr>
          <w:rFonts w:ascii="Times New Roman" w:hAnsi="Times New Roman" w:eastAsia="Times New Roman"/>
        </w:rPr>
        <w:t>——</w:t>
      </w:r>
      <w:r>
        <w:t>建设全球连续监测评估系统。统筹国内外资源，建成监测评估站网，以及数据中心、分析中心、监测评估中心、产品综合与服务中心、运行管理中心等，实时监测评估包括北斗系统在内的各大卫星导航系统星座状态、信号精度、信号质量和系统服务性能等，提供监测评估原始数据、</w:t>
      </w:r>
      <w:r>
        <w:rPr>
          <w:spacing w:val="-3"/>
        </w:rPr>
        <w:t>基础产品和信息服务，为用户应用提供参考。</w:t>
      </w:r>
    </w:p>
    <w:p>
      <w:pPr>
        <w:pStyle w:val="6"/>
        <w:spacing w:line="348" w:lineRule="auto"/>
        <w:ind w:left="118" w:right="333" w:firstLine="559"/>
        <w:jc w:val="both"/>
        <w:outlineLvl w:val="9"/>
        <w:rPr>
          <w:spacing w:val="-3"/>
        </w:rPr>
      </w:pPr>
    </w:p>
    <w:p>
      <w:pPr>
        <w:numPr>
          <w:ilvl w:val="0"/>
          <w:numId w:val="1"/>
        </w:numPr>
        <w:ind w:left="3603"/>
        <w:jc w:val="left"/>
        <w:outlineLvl w:val="9"/>
        <w:rPr>
          <w:sz w:val="24"/>
          <w:szCs w:val="24"/>
        </w:rPr>
      </w:pPr>
      <w:bookmarkStart w:id="60" w:name="_bookmark9"/>
      <w:bookmarkEnd w:id="60"/>
      <w:bookmarkStart w:id="61" w:name="（三）服务性能"/>
      <w:bookmarkEnd w:id="61"/>
      <w:r>
        <w:rPr>
          <w:sz w:val="24"/>
          <w:szCs w:val="24"/>
        </w:rPr>
        <w:t>服务性能</w:t>
      </w:r>
    </w:p>
    <w:p>
      <w:pPr>
        <w:pStyle w:val="2"/>
        <w:numPr>
          <w:ilvl w:val="0"/>
          <w:numId w:val="0"/>
        </w:numPr>
        <w:ind w:right="-47" w:rightChars="0"/>
      </w:pPr>
    </w:p>
    <w:p>
      <w:pPr>
        <w:pStyle w:val="6"/>
        <w:spacing w:line="348" w:lineRule="auto"/>
        <w:ind w:left="118" w:right="259" w:firstLine="560" w:firstLineChars="200"/>
        <w:jc w:val="both"/>
        <w:outlineLvl w:val="9"/>
        <w:rPr>
          <w:rFonts w:ascii="宋体" w:hAnsi="宋体" w:eastAsia="宋体" w:cs="宋体"/>
        </w:rPr>
      </w:pPr>
      <w:r>
        <w:rPr>
          <w:rFonts w:ascii="宋体" w:hAnsi="宋体" w:eastAsia="宋体" w:cs="宋体"/>
        </w:rPr>
        <w:t>北斗系统定位导航授时服务性能指标如下： 服务区域：全球；定位精度：水平 10 米、高程 10 米（95%）；测速精度：0.2 米每秒（95%）；授时精度：20 纳秒（95%）；</w:t>
      </w:r>
      <w:r>
        <w:rPr>
          <w:rFonts w:hint="eastAsia" w:ascii="宋体" w:hAnsi="宋体" w:eastAsia="宋体" w:cs="宋体"/>
          <w:lang w:val="en-US" w:eastAsia="zh-CN"/>
        </w:rPr>
        <w:t>服</w:t>
      </w:r>
      <w:r>
        <w:rPr>
          <w:rFonts w:ascii="宋体" w:hAnsi="宋体" w:eastAsia="宋体" w:cs="宋体"/>
        </w:rPr>
        <w:t>务可用性：优于 95%；</w:t>
      </w:r>
    </w:p>
    <w:p>
      <w:pPr>
        <w:pStyle w:val="6"/>
        <w:spacing w:line="348" w:lineRule="auto"/>
        <w:ind w:left="118" w:right="259"/>
        <w:jc w:val="both"/>
        <w:outlineLvl w:val="9"/>
        <w:rPr>
          <w:rFonts w:ascii="宋体" w:hAnsi="宋体" w:eastAsia="宋体" w:cs="宋体"/>
        </w:rPr>
      </w:pPr>
      <w:r>
        <w:rPr>
          <w:rFonts w:ascii="宋体" w:hAnsi="宋体" w:eastAsia="宋体" w:cs="宋体"/>
        </w:rPr>
        <w:t>其中，在亚太地区，定位精度水平 5 米、高程 5 米（95%）。实测结果表明，北斗系统服务能力全面达到并优于上述指标。</w:t>
      </w:r>
    </w:p>
    <w:p>
      <w:pPr>
        <w:pStyle w:val="6"/>
        <w:spacing w:line="326" w:lineRule="auto"/>
        <w:ind w:left="118" w:right="335" w:firstLine="559"/>
        <w:outlineLvl w:val="9"/>
        <w:rPr>
          <w:spacing w:val="-3"/>
        </w:rPr>
      </w:pPr>
    </w:p>
    <w:p>
      <w:pPr>
        <w:ind w:left="3603"/>
        <w:jc w:val="left"/>
        <w:outlineLvl w:val="9"/>
        <w:rPr>
          <w:sz w:val="24"/>
          <w:szCs w:val="24"/>
        </w:rPr>
      </w:pPr>
      <w:bookmarkStart w:id="62" w:name="（四）后续发展"/>
      <w:bookmarkEnd w:id="62"/>
      <w:bookmarkStart w:id="63" w:name="_bookmark10"/>
      <w:bookmarkEnd w:id="63"/>
      <w:r>
        <w:rPr>
          <w:sz w:val="24"/>
          <w:szCs w:val="24"/>
        </w:rPr>
        <w:t>（四）后续发展</w:t>
      </w:r>
    </w:p>
    <w:p>
      <w:pPr>
        <w:pStyle w:val="6"/>
        <w:spacing w:before="11"/>
        <w:outlineLvl w:val="9"/>
        <w:rPr>
          <w:sz w:val="34"/>
        </w:rPr>
      </w:pPr>
    </w:p>
    <w:p>
      <w:pPr>
        <w:pStyle w:val="6"/>
        <w:spacing w:before="1" w:line="362" w:lineRule="auto"/>
        <w:ind w:left="118" w:right="333" w:firstLine="559"/>
        <w:jc w:val="both"/>
        <w:outlineLvl w:val="9"/>
        <w:rPr>
          <w:rFonts w:hint="eastAsia" w:ascii="黑体" w:eastAsia="黑体"/>
        </w:rPr>
      </w:pPr>
      <w:r>
        <w:rPr>
          <w:rFonts w:ascii="Times New Roman" w:eastAsia="Times New Roman"/>
        </w:rPr>
        <w:t xml:space="preserve">2020 </w:t>
      </w:r>
      <w:r>
        <w:rPr>
          <w:spacing w:val="-34"/>
        </w:rPr>
        <w:t xml:space="preserve">年 </w:t>
      </w:r>
      <w:r>
        <w:rPr>
          <w:rFonts w:ascii="Times New Roman" w:eastAsia="Times New Roman"/>
        </w:rPr>
        <w:t xml:space="preserve">6 </w:t>
      </w:r>
      <w:r>
        <w:rPr>
          <w:spacing w:val="-8"/>
        </w:rPr>
        <w:t xml:space="preserve">月底前，还将发射 </w:t>
      </w:r>
      <w:r>
        <w:rPr>
          <w:rFonts w:ascii="Times New Roman" w:eastAsia="Times New Roman"/>
        </w:rPr>
        <w:t xml:space="preserve">2 </w:t>
      </w:r>
      <w:r>
        <w:t>颗地球静止轨道北斗三号卫星。未来， 北斗系统将持续提升服务性能，扩展服务功能，保障连续稳定运行，进一步提升全球定位导航授时和区域短报文通信服务能力，并提供星基增强、地基增强、精密单点定位、全球短报文通信和国际搜救等服务。</w:t>
      </w:r>
      <w:r>
        <w:rPr>
          <w:rFonts w:ascii="Times New Roman" w:eastAsia="Times New Roman"/>
        </w:rPr>
        <w:t xml:space="preserve">2020 </w:t>
      </w:r>
      <w:r>
        <w:t xml:space="preserve">年， </w:t>
      </w:r>
      <w:r>
        <w:rPr>
          <w:spacing w:val="-3"/>
        </w:rPr>
        <w:t>北斗系统计划提供如下服务。</w:t>
      </w:r>
    </w:p>
    <w:p>
      <w:pPr>
        <w:pStyle w:val="6"/>
        <w:tabs>
          <w:tab w:val="left" w:pos="559"/>
        </w:tabs>
        <w:ind w:right="215"/>
        <w:jc w:val="center"/>
        <w:outlineLvl w:val="9"/>
        <w:rPr>
          <w:rFonts w:hint="eastAsia" w:ascii="黑体" w:eastAsia="黑体"/>
        </w:rPr>
      </w:pPr>
    </w:p>
    <w:p>
      <w:pPr>
        <w:pStyle w:val="6"/>
        <w:tabs>
          <w:tab w:val="left" w:pos="559"/>
        </w:tabs>
        <w:ind w:right="215"/>
        <w:jc w:val="center"/>
        <w:outlineLvl w:val="9"/>
        <w:rPr>
          <w:rFonts w:hint="eastAsia" w:ascii="黑体" w:eastAsia="黑体"/>
        </w:rPr>
      </w:pPr>
      <w:r>
        <w:rPr>
          <w:rFonts w:hint="eastAsia" w:ascii="黑体" w:eastAsia="黑体"/>
        </w:rPr>
        <w:t>表</w:t>
      </w:r>
      <w:r>
        <w:rPr>
          <w:rFonts w:hint="eastAsia" w:ascii="黑体" w:eastAsia="黑体"/>
        </w:rPr>
        <w:tab/>
      </w:r>
      <w:r>
        <w:rPr>
          <w:rFonts w:ascii="Times New Roman" w:eastAsia="Times New Roman"/>
        </w:rPr>
        <w:t xml:space="preserve">2020 </w:t>
      </w:r>
      <w:r>
        <w:rPr>
          <w:rFonts w:hint="eastAsia" w:ascii="黑体" w:eastAsia="黑体"/>
        </w:rPr>
        <w:t>年</w:t>
      </w:r>
      <w:r>
        <w:rPr>
          <w:rFonts w:hint="eastAsia" w:ascii="黑体" w:eastAsia="黑体"/>
          <w:spacing w:val="-3"/>
        </w:rPr>
        <w:t>北</w:t>
      </w:r>
      <w:r>
        <w:rPr>
          <w:rFonts w:hint="eastAsia" w:ascii="黑体" w:eastAsia="黑体"/>
        </w:rPr>
        <w:t>斗系</w:t>
      </w:r>
      <w:r>
        <w:rPr>
          <w:rFonts w:hint="eastAsia" w:ascii="黑体" w:eastAsia="黑体"/>
          <w:spacing w:val="-3"/>
        </w:rPr>
        <w:t>统</w:t>
      </w:r>
      <w:r>
        <w:rPr>
          <w:rFonts w:hint="eastAsia" w:ascii="黑体" w:eastAsia="黑体"/>
        </w:rPr>
        <w:t>计划</w:t>
      </w:r>
      <w:r>
        <w:rPr>
          <w:rFonts w:hint="eastAsia" w:ascii="黑体" w:eastAsia="黑体"/>
          <w:spacing w:val="-3"/>
        </w:rPr>
        <w:t>提</w:t>
      </w:r>
      <w:r>
        <w:rPr>
          <w:rFonts w:hint="eastAsia" w:ascii="黑体" w:eastAsia="黑体"/>
        </w:rPr>
        <w:t>供的</w:t>
      </w:r>
      <w:r>
        <w:rPr>
          <w:rFonts w:hint="eastAsia" w:ascii="黑体" w:eastAsia="黑体"/>
          <w:spacing w:val="-3"/>
        </w:rPr>
        <w:t>服</w:t>
      </w:r>
      <w:r>
        <w:rPr>
          <w:rFonts w:hint="eastAsia" w:ascii="黑体" w:eastAsia="黑体"/>
        </w:rPr>
        <w:t>务类型</w:t>
      </w:r>
    </w:p>
    <w:p>
      <w:pPr>
        <w:pStyle w:val="6"/>
        <w:spacing w:before="3"/>
        <w:outlineLvl w:val="9"/>
        <w:rPr>
          <w:rFonts w:ascii="黑体"/>
          <w:sz w:val="24"/>
        </w:rPr>
      </w:pPr>
    </w:p>
    <w:tbl>
      <w:tblPr>
        <w:tblStyle w:val="12"/>
        <w:tblW w:w="0" w:type="auto"/>
        <w:tblInd w:w="1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964"/>
        <w:gridCol w:w="2546"/>
        <w:gridCol w:w="2964"/>
        <w:gridCol w:w="259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57" w:hRule="atLeast"/>
        </w:trPr>
        <w:tc>
          <w:tcPr>
            <w:tcW w:w="3510" w:type="dxa"/>
            <w:gridSpan w:val="2"/>
            <w:tcBorders>
              <w:bottom w:val="single" w:color="000000" w:sz="4" w:space="0"/>
              <w:right w:val="single" w:color="000000" w:sz="4" w:space="0"/>
            </w:tcBorders>
          </w:tcPr>
          <w:p>
            <w:pPr>
              <w:pStyle w:val="24"/>
              <w:spacing w:before="35" w:line="302" w:lineRule="exact"/>
              <w:ind w:left="1254" w:right="1236"/>
              <w:outlineLvl w:val="9"/>
              <w:rPr>
                <w:rFonts w:hint="eastAsia" w:ascii="宋体" w:eastAsia="宋体"/>
                <w:b/>
                <w:sz w:val="24"/>
              </w:rPr>
            </w:pPr>
            <w:r>
              <w:rPr>
                <w:rFonts w:hint="eastAsia" w:ascii="宋体" w:eastAsia="宋体"/>
                <w:b/>
                <w:sz w:val="24"/>
              </w:rPr>
              <w:t>服务类型</w:t>
            </w:r>
          </w:p>
        </w:tc>
        <w:tc>
          <w:tcPr>
            <w:tcW w:w="2964" w:type="dxa"/>
            <w:tcBorders>
              <w:left w:val="single" w:color="000000" w:sz="4" w:space="0"/>
              <w:bottom w:val="single" w:color="000000" w:sz="4" w:space="0"/>
              <w:right w:val="single" w:color="000000" w:sz="4" w:space="0"/>
            </w:tcBorders>
          </w:tcPr>
          <w:p>
            <w:pPr>
              <w:pStyle w:val="24"/>
              <w:spacing w:before="35" w:line="302" w:lineRule="exact"/>
              <w:ind w:left="114" w:right="92"/>
              <w:outlineLvl w:val="9"/>
              <w:rPr>
                <w:rFonts w:hint="eastAsia" w:ascii="宋体" w:eastAsia="宋体"/>
                <w:b/>
                <w:sz w:val="24"/>
              </w:rPr>
            </w:pPr>
            <w:r>
              <w:rPr>
                <w:rFonts w:hint="eastAsia" w:ascii="宋体" w:eastAsia="宋体"/>
                <w:b/>
                <w:sz w:val="24"/>
              </w:rPr>
              <w:t>信号</w:t>
            </w:r>
            <w:r>
              <w:rPr>
                <w:b/>
                <w:i/>
                <w:sz w:val="24"/>
              </w:rPr>
              <w:t>/</w:t>
            </w:r>
            <w:r>
              <w:rPr>
                <w:rFonts w:hint="eastAsia" w:ascii="宋体" w:eastAsia="宋体"/>
                <w:b/>
                <w:sz w:val="24"/>
              </w:rPr>
              <w:t>频段</w:t>
            </w:r>
          </w:p>
        </w:tc>
        <w:tc>
          <w:tcPr>
            <w:tcW w:w="2598" w:type="dxa"/>
            <w:tcBorders>
              <w:left w:val="single" w:color="000000" w:sz="4" w:space="0"/>
              <w:bottom w:val="single" w:color="000000" w:sz="4" w:space="0"/>
            </w:tcBorders>
          </w:tcPr>
          <w:p>
            <w:pPr>
              <w:pStyle w:val="24"/>
              <w:spacing w:before="35" w:line="302" w:lineRule="exact"/>
              <w:ind w:left="114" w:right="89"/>
              <w:outlineLvl w:val="9"/>
              <w:rPr>
                <w:rFonts w:hint="eastAsia" w:ascii="宋体" w:eastAsia="宋体"/>
                <w:b/>
                <w:sz w:val="24"/>
              </w:rPr>
            </w:pPr>
            <w:r>
              <w:rPr>
                <w:rFonts w:hint="eastAsia" w:ascii="宋体" w:eastAsia="宋体"/>
                <w:b/>
                <w:sz w:val="24"/>
              </w:rPr>
              <w:t>播发手段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7" w:hRule="atLeast"/>
        </w:trPr>
        <w:tc>
          <w:tcPr>
            <w:tcW w:w="964" w:type="dxa"/>
            <w:vMerge w:val="restart"/>
            <w:tcBorders>
              <w:top w:val="single" w:color="000000" w:sz="4" w:space="0"/>
              <w:bottom w:val="single" w:color="000000" w:sz="4" w:space="0"/>
              <w:right w:val="single" w:color="000000" w:sz="4" w:space="0"/>
            </w:tcBorders>
          </w:tcPr>
          <w:p>
            <w:pPr>
              <w:pStyle w:val="24"/>
              <w:spacing w:before="0"/>
              <w:ind w:left="0" w:right="0"/>
              <w:jc w:val="left"/>
              <w:outlineLvl w:val="9"/>
              <w:rPr>
                <w:rFonts w:ascii="黑体"/>
                <w:sz w:val="24"/>
              </w:rPr>
            </w:pPr>
          </w:p>
          <w:p>
            <w:pPr>
              <w:pStyle w:val="24"/>
              <w:spacing w:before="6"/>
              <w:ind w:left="0" w:right="0"/>
              <w:jc w:val="left"/>
              <w:outlineLvl w:val="9"/>
              <w:rPr>
                <w:rFonts w:ascii="黑体"/>
                <w:sz w:val="32"/>
              </w:rPr>
            </w:pPr>
          </w:p>
          <w:p>
            <w:pPr>
              <w:pStyle w:val="24"/>
              <w:spacing w:before="0" w:line="249" w:lineRule="auto"/>
              <w:ind w:left="243" w:right="223"/>
              <w:jc w:val="left"/>
              <w:outlineLvl w:val="9"/>
              <w:rPr>
                <w:rFonts w:hint="eastAsia" w:ascii="宋体" w:eastAsia="宋体"/>
                <w:sz w:val="24"/>
              </w:rPr>
            </w:pPr>
            <w:r>
              <w:rPr>
                <w:rFonts w:hint="eastAsia" w:ascii="宋体" w:eastAsia="宋体"/>
                <w:sz w:val="24"/>
              </w:rPr>
              <w:t>全球范围</w:t>
            </w:r>
          </w:p>
        </w:tc>
        <w:tc>
          <w:tcPr>
            <w:tcW w:w="2546" w:type="dxa"/>
            <w:vMerge w:val="restart"/>
            <w:tcBorders>
              <w:top w:val="single" w:color="000000" w:sz="4" w:space="0"/>
              <w:left w:val="single" w:color="000000" w:sz="4" w:space="0"/>
              <w:bottom w:val="single" w:color="000000" w:sz="4" w:space="0"/>
              <w:right w:val="single" w:color="000000" w:sz="4" w:space="0"/>
            </w:tcBorders>
          </w:tcPr>
          <w:p>
            <w:pPr>
              <w:pStyle w:val="24"/>
              <w:spacing w:before="12"/>
              <w:ind w:left="0" w:right="0"/>
              <w:jc w:val="left"/>
              <w:outlineLvl w:val="9"/>
              <w:rPr>
                <w:rFonts w:ascii="黑体"/>
                <w:sz w:val="16"/>
              </w:rPr>
            </w:pPr>
          </w:p>
          <w:p>
            <w:pPr>
              <w:pStyle w:val="24"/>
              <w:spacing w:before="0"/>
              <w:ind w:left="556" w:right="0"/>
              <w:jc w:val="left"/>
              <w:outlineLvl w:val="9"/>
              <w:rPr>
                <w:rFonts w:hint="eastAsia" w:ascii="宋体" w:eastAsia="宋体"/>
                <w:sz w:val="24"/>
              </w:rPr>
            </w:pPr>
            <w:r>
              <w:rPr>
                <w:rFonts w:hint="eastAsia" w:ascii="宋体" w:eastAsia="宋体"/>
                <w:sz w:val="24"/>
              </w:rPr>
              <w:t>定位导航授时</w:t>
            </w:r>
          </w:p>
        </w:tc>
        <w:tc>
          <w:tcPr>
            <w:tcW w:w="2964" w:type="dxa"/>
            <w:tcBorders>
              <w:top w:val="single" w:color="000000" w:sz="4" w:space="0"/>
              <w:left w:val="single" w:color="000000" w:sz="4" w:space="0"/>
              <w:bottom w:val="single" w:color="000000" w:sz="4" w:space="0"/>
              <w:right w:val="single" w:color="000000" w:sz="4" w:space="0"/>
            </w:tcBorders>
          </w:tcPr>
          <w:p>
            <w:pPr>
              <w:pStyle w:val="24"/>
              <w:spacing w:before="35" w:line="302" w:lineRule="exact"/>
              <w:ind w:left="112" w:right="92"/>
              <w:outlineLvl w:val="9"/>
              <w:rPr>
                <w:sz w:val="24"/>
              </w:rPr>
            </w:pPr>
            <w:r>
              <w:rPr>
                <w:sz w:val="24"/>
              </w:rPr>
              <w:t>B1I</w:t>
            </w:r>
            <w:r>
              <w:rPr>
                <w:rFonts w:hint="eastAsia" w:ascii="宋体" w:eastAsia="宋体"/>
                <w:sz w:val="24"/>
              </w:rPr>
              <w:t>、</w:t>
            </w:r>
            <w:r>
              <w:rPr>
                <w:sz w:val="24"/>
              </w:rPr>
              <w:t>B3I</w:t>
            </w:r>
          </w:p>
        </w:tc>
        <w:tc>
          <w:tcPr>
            <w:tcW w:w="2598" w:type="dxa"/>
            <w:tcBorders>
              <w:top w:val="single" w:color="000000" w:sz="4" w:space="0"/>
              <w:left w:val="single" w:color="000000" w:sz="4" w:space="0"/>
              <w:bottom w:val="single" w:color="000000" w:sz="4" w:space="0"/>
            </w:tcBorders>
          </w:tcPr>
          <w:p>
            <w:pPr>
              <w:pStyle w:val="24"/>
              <w:spacing w:before="51"/>
              <w:ind w:left="115" w:right="89"/>
              <w:outlineLvl w:val="9"/>
              <w:rPr>
                <w:sz w:val="24"/>
              </w:rPr>
            </w:pPr>
            <w:r>
              <w:rPr>
                <w:sz w:val="24"/>
              </w:rPr>
              <w:t>3GEO+3IGSO+24MEO</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6" w:hRule="atLeast"/>
        </w:trPr>
        <w:tc>
          <w:tcPr>
            <w:tcW w:w="964" w:type="dxa"/>
            <w:vMerge w:val="continue"/>
            <w:tcBorders>
              <w:top w:val="nil"/>
              <w:bottom w:val="single" w:color="000000" w:sz="4" w:space="0"/>
              <w:right w:val="single" w:color="000000" w:sz="4" w:space="0"/>
            </w:tcBorders>
          </w:tcPr>
          <w:p>
            <w:pPr>
              <w:outlineLvl w:val="9"/>
              <w:rPr>
                <w:sz w:val="2"/>
                <w:szCs w:val="2"/>
              </w:rPr>
            </w:pPr>
          </w:p>
        </w:tc>
        <w:tc>
          <w:tcPr>
            <w:tcW w:w="2546" w:type="dxa"/>
            <w:vMerge w:val="continue"/>
            <w:tcBorders>
              <w:top w:val="nil"/>
              <w:left w:val="single" w:color="000000" w:sz="4" w:space="0"/>
              <w:bottom w:val="single" w:color="000000" w:sz="4" w:space="0"/>
              <w:right w:val="single" w:color="000000" w:sz="4" w:space="0"/>
            </w:tcBorders>
          </w:tcPr>
          <w:p>
            <w:pPr>
              <w:outlineLvl w:val="9"/>
              <w:rPr>
                <w:sz w:val="2"/>
                <w:szCs w:val="2"/>
              </w:rPr>
            </w:pPr>
          </w:p>
        </w:tc>
        <w:tc>
          <w:tcPr>
            <w:tcW w:w="2964" w:type="dxa"/>
            <w:tcBorders>
              <w:top w:val="single" w:color="000000" w:sz="4" w:space="0"/>
              <w:left w:val="single" w:color="000000" w:sz="4" w:space="0"/>
              <w:bottom w:val="single" w:color="000000" w:sz="4" w:space="0"/>
              <w:right w:val="single" w:color="000000" w:sz="4" w:space="0"/>
            </w:tcBorders>
          </w:tcPr>
          <w:p>
            <w:pPr>
              <w:pStyle w:val="24"/>
              <w:spacing w:before="33" w:line="304" w:lineRule="exact"/>
              <w:ind w:left="109" w:right="92"/>
              <w:outlineLvl w:val="9"/>
              <w:rPr>
                <w:sz w:val="24"/>
              </w:rPr>
            </w:pPr>
            <w:r>
              <w:rPr>
                <w:sz w:val="24"/>
              </w:rPr>
              <w:t>B1C</w:t>
            </w:r>
            <w:r>
              <w:rPr>
                <w:rFonts w:hint="eastAsia" w:ascii="宋体" w:eastAsia="宋体"/>
                <w:sz w:val="24"/>
              </w:rPr>
              <w:t>、</w:t>
            </w:r>
            <w:r>
              <w:rPr>
                <w:sz w:val="24"/>
              </w:rPr>
              <w:t>B2a</w:t>
            </w:r>
            <w:r>
              <w:rPr>
                <w:rFonts w:hint="eastAsia" w:ascii="宋体" w:eastAsia="宋体"/>
                <w:sz w:val="24"/>
              </w:rPr>
              <w:t>、</w:t>
            </w:r>
            <w:r>
              <w:rPr>
                <w:sz w:val="24"/>
              </w:rPr>
              <w:t>B2b</w:t>
            </w:r>
          </w:p>
        </w:tc>
        <w:tc>
          <w:tcPr>
            <w:tcW w:w="2598" w:type="dxa"/>
            <w:tcBorders>
              <w:top w:val="single" w:color="000000" w:sz="4" w:space="0"/>
              <w:left w:val="single" w:color="000000" w:sz="4" w:space="0"/>
              <w:bottom w:val="single" w:color="000000" w:sz="4" w:space="0"/>
            </w:tcBorders>
          </w:tcPr>
          <w:p>
            <w:pPr>
              <w:pStyle w:val="24"/>
              <w:spacing w:before="49"/>
              <w:ind w:left="115" w:right="89"/>
              <w:outlineLvl w:val="9"/>
              <w:rPr>
                <w:sz w:val="24"/>
              </w:rPr>
            </w:pPr>
            <w:r>
              <w:rPr>
                <w:sz w:val="24"/>
              </w:rPr>
              <w:t>3IGSO+24MEO</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7" w:hRule="atLeast"/>
        </w:trPr>
        <w:tc>
          <w:tcPr>
            <w:tcW w:w="964" w:type="dxa"/>
            <w:vMerge w:val="continue"/>
            <w:tcBorders>
              <w:top w:val="nil"/>
              <w:bottom w:val="single" w:color="000000" w:sz="4" w:space="0"/>
              <w:right w:val="single" w:color="000000" w:sz="4" w:space="0"/>
            </w:tcBorders>
          </w:tcPr>
          <w:p>
            <w:pPr>
              <w:outlineLvl w:val="9"/>
              <w:rPr>
                <w:sz w:val="2"/>
                <w:szCs w:val="2"/>
              </w:rPr>
            </w:pPr>
          </w:p>
        </w:tc>
        <w:tc>
          <w:tcPr>
            <w:tcW w:w="2546" w:type="dxa"/>
            <w:tcBorders>
              <w:top w:val="single" w:color="000000" w:sz="4" w:space="0"/>
              <w:left w:val="single" w:color="000000" w:sz="4" w:space="0"/>
              <w:bottom w:val="single" w:color="000000" w:sz="4" w:space="0"/>
              <w:right w:val="single" w:color="000000" w:sz="4" w:space="0"/>
            </w:tcBorders>
          </w:tcPr>
          <w:p>
            <w:pPr>
              <w:pStyle w:val="24"/>
              <w:spacing w:before="184"/>
              <w:ind w:left="416" w:right="400"/>
              <w:outlineLvl w:val="9"/>
              <w:rPr>
                <w:rFonts w:hint="eastAsia" w:ascii="宋体" w:eastAsia="宋体"/>
                <w:sz w:val="24"/>
              </w:rPr>
            </w:pPr>
            <w:r>
              <w:rPr>
                <w:rFonts w:hint="eastAsia" w:ascii="宋体" w:eastAsia="宋体"/>
                <w:sz w:val="24"/>
              </w:rPr>
              <w:t>全球短报文通信</w:t>
            </w:r>
          </w:p>
        </w:tc>
        <w:tc>
          <w:tcPr>
            <w:tcW w:w="2964" w:type="dxa"/>
            <w:tcBorders>
              <w:top w:val="single" w:color="000000" w:sz="4" w:space="0"/>
              <w:left w:val="single" w:color="000000" w:sz="4" w:space="0"/>
              <w:bottom w:val="single" w:color="000000" w:sz="4" w:space="0"/>
              <w:right w:val="single" w:color="000000" w:sz="4" w:space="0"/>
            </w:tcBorders>
          </w:tcPr>
          <w:p>
            <w:pPr>
              <w:pStyle w:val="24"/>
              <w:spacing w:before="23"/>
              <w:ind w:left="111" w:right="92"/>
              <w:outlineLvl w:val="9"/>
              <w:rPr>
                <w:sz w:val="24"/>
              </w:rPr>
            </w:pPr>
            <w:r>
              <w:rPr>
                <w:rFonts w:hint="eastAsia" w:ascii="宋体" w:eastAsia="宋体"/>
                <w:sz w:val="24"/>
              </w:rPr>
              <w:t>上行：</w:t>
            </w:r>
            <w:r>
              <w:rPr>
                <w:sz w:val="24"/>
              </w:rPr>
              <w:t>L</w:t>
            </w:r>
          </w:p>
          <w:p>
            <w:pPr>
              <w:pStyle w:val="24"/>
              <w:spacing w:before="14" w:line="292" w:lineRule="exact"/>
              <w:ind w:left="111" w:right="92"/>
              <w:outlineLvl w:val="9"/>
              <w:rPr>
                <w:sz w:val="24"/>
              </w:rPr>
            </w:pPr>
            <w:r>
              <w:rPr>
                <w:rFonts w:hint="eastAsia" w:ascii="宋体" w:eastAsia="宋体"/>
                <w:sz w:val="24"/>
              </w:rPr>
              <w:t>下行：</w:t>
            </w:r>
            <w:r>
              <w:rPr>
                <w:sz w:val="24"/>
              </w:rPr>
              <w:t>GSMC-B2b</w:t>
            </w:r>
          </w:p>
        </w:tc>
        <w:tc>
          <w:tcPr>
            <w:tcW w:w="2598" w:type="dxa"/>
            <w:tcBorders>
              <w:top w:val="single" w:color="000000" w:sz="4" w:space="0"/>
              <w:left w:val="single" w:color="000000" w:sz="4" w:space="0"/>
              <w:bottom w:val="single" w:color="000000" w:sz="4" w:space="0"/>
            </w:tcBorders>
          </w:tcPr>
          <w:p>
            <w:pPr>
              <w:pStyle w:val="24"/>
              <w:spacing w:before="23"/>
              <w:ind w:left="108" w:right="89"/>
              <w:outlineLvl w:val="9"/>
              <w:rPr>
                <w:sz w:val="24"/>
              </w:rPr>
            </w:pPr>
            <w:r>
              <w:rPr>
                <w:rFonts w:hint="eastAsia" w:ascii="宋体" w:eastAsia="宋体"/>
                <w:sz w:val="24"/>
              </w:rPr>
              <w:t>上行：</w:t>
            </w:r>
            <w:r>
              <w:rPr>
                <w:sz w:val="24"/>
              </w:rPr>
              <w:t>14MEO</w:t>
            </w:r>
          </w:p>
          <w:p>
            <w:pPr>
              <w:pStyle w:val="24"/>
              <w:spacing w:before="14" w:line="292" w:lineRule="exact"/>
              <w:ind w:left="110" w:right="89"/>
              <w:outlineLvl w:val="9"/>
              <w:rPr>
                <w:sz w:val="24"/>
              </w:rPr>
            </w:pPr>
            <w:r>
              <w:rPr>
                <w:rFonts w:hint="eastAsia" w:ascii="宋体" w:eastAsia="宋体"/>
                <w:sz w:val="24"/>
              </w:rPr>
              <w:t>下行：</w:t>
            </w:r>
            <w:r>
              <w:rPr>
                <w:sz w:val="24"/>
              </w:rPr>
              <w:t>3IGSO+24MEO</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6" w:hRule="atLeast"/>
        </w:trPr>
        <w:tc>
          <w:tcPr>
            <w:tcW w:w="964" w:type="dxa"/>
            <w:vMerge w:val="continue"/>
            <w:tcBorders>
              <w:top w:val="nil"/>
              <w:bottom w:val="single" w:color="000000" w:sz="4" w:space="0"/>
              <w:right w:val="single" w:color="000000" w:sz="4" w:space="0"/>
            </w:tcBorders>
          </w:tcPr>
          <w:p>
            <w:pPr>
              <w:outlineLvl w:val="9"/>
              <w:rPr>
                <w:sz w:val="2"/>
                <w:szCs w:val="2"/>
              </w:rPr>
            </w:pPr>
          </w:p>
        </w:tc>
        <w:tc>
          <w:tcPr>
            <w:tcW w:w="2546" w:type="dxa"/>
            <w:tcBorders>
              <w:top w:val="single" w:color="000000" w:sz="4" w:space="0"/>
              <w:left w:val="single" w:color="000000" w:sz="4" w:space="0"/>
              <w:bottom w:val="single" w:color="000000" w:sz="4" w:space="0"/>
              <w:right w:val="single" w:color="000000" w:sz="4" w:space="0"/>
            </w:tcBorders>
          </w:tcPr>
          <w:p>
            <w:pPr>
              <w:pStyle w:val="24"/>
              <w:spacing w:before="184"/>
              <w:ind w:left="416" w:right="400"/>
              <w:outlineLvl w:val="9"/>
              <w:rPr>
                <w:rFonts w:hint="eastAsia" w:ascii="宋体" w:eastAsia="宋体"/>
                <w:sz w:val="24"/>
              </w:rPr>
            </w:pPr>
            <w:r>
              <w:rPr>
                <w:rFonts w:hint="eastAsia" w:ascii="宋体" w:eastAsia="宋体"/>
                <w:sz w:val="24"/>
              </w:rPr>
              <w:t>国际搜救</w:t>
            </w:r>
          </w:p>
        </w:tc>
        <w:tc>
          <w:tcPr>
            <w:tcW w:w="2964" w:type="dxa"/>
            <w:tcBorders>
              <w:top w:val="single" w:color="000000" w:sz="4" w:space="0"/>
              <w:left w:val="single" w:color="000000" w:sz="4" w:space="0"/>
              <w:bottom w:val="single" w:color="000000" w:sz="4" w:space="0"/>
              <w:right w:val="single" w:color="000000" w:sz="4" w:space="0"/>
            </w:tcBorders>
          </w:tcPr>
          <w:p>
            <w:pPr>
              <w:pStyle w:val="24"/>
              <w:spacing w:before="11" w:line="320" w:lineRule="atLeast"/>
              <w:ind w:left="652" w:right="633" w:firstLine="232"/>
              <w:jc w:val="left"/>
              <w:outlineLvl w:val="9"/>
              <w:rPr>
                <w:sz w:val="24"/>
              </w:rPr>
            </w:pPr>
            <w:r>
              <w:rPr>
                <w:rFonts w:hint="eastAsia" w:ascii="宋体" w:eastAsia="宋体"/>
                <w:sz w:val="24"/>
              </w:rPr>
              <w:t>上行：</w:t>
            </w:r>
            <w:r>
              <w:rPr>
                <w:sz w:val="24"/>
              </w:rPr>
              <w:t xml:space="preserve">UHF </w:t>
            </w:r>
            <w:r>
              <w:rPr>
                <w:rFonts w:hint="eastAsia" w:ascii="宋体" w:eastAsia="宋体"/>
                <w:sz w:val="24"/>
              </w:rPr>
              <w:t>下行：</w:t>
            </w:r>
            <w:r>
              <w:rPr>
                <w:sz w:val="24"/>
              </w:rPr>
              <w:t>SAR-B2b</w:t>
            </w:r>
          </w:p>
        </w:tc>
        <w:tc>
          <w:tcPr>
            <w:tcW w:w="2598" w:type="dxa"/>
            <w:tcBorders>
              <w:top w:val="single" w:color="000000" w:sz="4" w:space="0"/>
              <w:left w:val="single" w:color="000000" w:sz="4" w:space="0"/>
              <w:bottom w:val="single" w:color="000000" w:sz="4" w:space="0"/>
            </w:tcBorders>
          </w:tcPr>
          <w:p>
            <w:pPr>
              <w:pStyle w:val="24"/>
              <w:spacing w:before="23"/>
              <w:ind w:left="108" w:right="89"/>
              <w:outlineLvl w:val="9"/>
              <w:rPr>
                <w:sz w:val="24"/>
              </w:rPr>
            </w:pPr>
            <w:r>
              <w:rPr>
                <w:rFonts w:hint="eastAsia" w:ascii="宋体" w:eastAsia="宋体"/>
                <w:sz w:val="24"/>
              </w:rPr>
              <w:t>上行：</w:t>
            </w:r>
            <w:r>
              <w:rPr>
                <w:sz w:val="24"/>
              </w:rPr>
              <w:t>6MEO</w:t>
            </w:r>
          </w:p>
          <w:p>
            <w:pPr>
              <w:pStyle w:val="24"/>
              <w:spacing w:before="12" w:line="294" w:lineRule="exact"/>
              <w:ind w:left="110" w:right="89"/>
              <w:outlineLvl w:val="9"/>
              <w:rPr>
                <w:sz w:val="24"/>
              </w:rPr>
            </w:pPr>
            <w:r>
              <w:rPr>
                <w:rFonts w:hint="eastAsia" w:ascii="宋体" w:eastAsia="宋体"/>
                <w:sz w:val="24"/>
              </w:rPr>
              <w:t>下行：</w:t>
            </w:r>
            <w:r>
              <w:rPr>
                <w:sz w:val="24"/>
              </w:rPr>
              <w:t>3IGSO+24MEO</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7" w:hRule="atLeast"/>
        </w:trPr>
        <w:tc>
          <w:tcPr>
            <w:tcW w:w="964" w:type="dxa"/>
            <w:vMerge w:val="restart"/>
            <w:tcBorders>
              <w:top w:val="single" w:color="000000" w:sz="4" w:space="0"/>
              <w:bottom w:val="single" w:color="000000" w:sz="4" w:space="0"/>
              <w:right w:val="single" w:color="000000" w:sz="4" w:space="0"/>
            </w:tcBorders>
          </w:tcPr>
          <w:p>
            <w:pPr>
              <w:pStyle w:val="24"/>
              <w:spacing w:before="0"/>
              <w:ind w:left="0" w:right="0"/>
              <w:jc w:val="left"/>
              <w:outlineLvl w:val="9"/>
              <w:rPr>
                <w:rFonts w:ascii="黑体"/>
                <w:sz w:val="24"/>
              </w:rPr>
            </w:pPr>
          </w:p>
          <w:p>
            <w:pPr>
              <w:pStyle w:val="24"/>
              <w:spacing w:before="10"/>
              <w:ind w:left="0" w:right="0"/>
              <w:jc w:val="left"/>
              <w:outlineLvl w:val="9"/>
              <w:rPr>
                <w:rFonts w:ascii="黑体"/>
                <w:sz w:val="31"/>
              </w:rPr>
            </w:pPr>
          </w:p>
          <w:p>
            <w:pPr>
              <w:pStyle w:val="24"/>
              <w:spacing w:before="0" w:line="249" w:lineRule="auto"/>
              <w:ind w:left="123" w:right="103"/>
              <w:outlineLvl w:val="9"/>
              <w:rPr>
                <w:rFonts w:hint="eastAsia" w:ascii="宋体" w:eastAsia="宋体"/>
                <w:sz w:val="24"/>
              </w:rPr>
            </w:pPr>
            <w:r>
              <w:rPr>
                <w:rFonts w:hint="eastAsia" w:ascii="宋体" w:eastAsia="宋体"/>
                <w:sz w:val="24"/>
              </w:rPr>
              <w:t xml:space="preserve">中国 </w:t>
            </w:r>
            <w:r>
              <w:rPr>
                <w:rFonts w:hint="eastAsia" w:ascii="宋体" w:eastAsia="宋体"/>
                <w:spacing w:val="-6"/>
                <w:sz w:val="24"/>
              </w:rPr>
              <w:t>及周边</w:t>
            </w:r>
            <w:r>
              <w:rPr>
                <w:rFonts w:hint="eastAsia" w:ascii="宋体" w:eastAsia="宋体"/>
                <w:sz w:val="24"/>
              </w:rPr>
              <w:t>地区</w:t>
            </w:r>
          </w:p>
        </w:tc>
        <w:tc>
          <w:tcPr>
            <w:tcW w:w="2546" w:type="dxa"/>
            <w:tcBorders>
              <w:top w:val="single" w:color="000000" w:sz="4" w:space="0"/>
              <w:left w:val="single" w:color="000000" w:sz="4" w:space="0"/>
              <w:bottom w:val="single" w:color="000000" w:sz="4" w:space="0"/>
              <w:right w:val="single" w:color="000000" w:sz="4" w:space="0"/>
            </w:tcBorders>
          </w:tcPr>
          <w:p>
            <w:pPr>
              <w:pStyle w:val="24"/>
              <w:spacing w:before="184"/>
              <w:ind w:left="416" w:right="400"/>
              <w:outlineLvl w:val="9"/>
              <w:rPr>
                <w:rFonts w:hint="eastAsia" w:ascii="宋体" w:eastAsia="宋体"/>
                <w:sz w:val="24"/>
              </w:rPr>
            </w:pPr>
            <w:r>
              <w:rPr>
                <w:rFonts w:hint="eastAsia" w:ascii="宋体" w:eastAsia="宋体"/>
                <w:sz w:val="24"/>
              </w:rPr>
              <w:t>星基增强</w:t>
            </w:r>
          </w:p>
        </w:tc>
        <w:tc>
          <w:tcPr>
            <w:tcW w:w="2964" w:type="dxa"/>
            <w:tcBorders>
              <w:top w:val="single" w:color="000000" w:sz="4" w:space="0"/>
              <w:left w:val="single" w:color="000000" w:sz="4" w:space="0"/>
              <w:bottom w:val="single" w:color="000000" w:sz="4" w:space="0"/>
              <w:right w:val="single" w:color="000000" w:sz="4" w:space="0"/>
            </w:tcBorders>
          </w:tcPr>
          <w:p>
            <w:pPr>
              <w:pStyle w:val="24"/>
              <w:spacing w:before="24"/>
              <w:ind w:left="114" w:right="92"/>
              <w:outlineLvl w:val="9"/>
              <w:rPr>
                <w:sz w:val="24"/>
              </w:rPr>
            </w:pPr>
            <w:r>
              <w:rPr>
                <w:sz w:val="24"/>
              </w:rPr>
              <w:t>BDSBAS-B1C</w:t>
            </w:r>
            <w:r>
              <w:rPr>
                <w:rFonts w:hint="eastAsia" w:ascii="宋体" w:eastAsia="宋体"/>
                <w:sz w:val="24"/>
              </w:rPr>
              <w:t>、</w:t>
            </w:r>
            <w:r>
              <w:rPr>
                <w:sz w:val="24"/>
              </w:rPr>
              <w:t>BDSBAS-</w:t>
            </w:r>
          </w:p>
          <w:p>
            <w:pPr>
              <w:pStyle w:val="24"/>
              <w:spacing w:before="27"/>
              <w:ind w:left="110" w:right="92"/>
              <w:outlineLvl w:val="9"/>
              <w:rPr>
                <w:sz w:val="24"/>
              </w:rPr>
            </w:pPr>
            <w:r>
              <w:rPr>
                <w:sz w:val="24"/>
              </w:rPr>
              <w:t>B2a</w:t>
            </w:r>
          </w:p>
        </w:tc>
        <w:tc>
          <w:tcPr>
            <w:tcW w:w="2598" w:type="dxa"/>
            <w:tcBorders>
              <w:top w:val="single" w:color="000000" w:sz="4" w:space="0"/>
              <w:left w:val="single" w:color="000000" w:sz="4" w:space="0"/>
              <w:bottom w:val="single" w:color="000000" w:sz="4" w:space="0"/>
            </w:tcBorders>
          </w:tcPr>
          <w:p>
            <w:pPr>
              <w:pStyle w:val="24"/>
              <w:spacing w:before="200"/>
              <w:ind w:left="105" w:right="89"/>
              <w:outlineLvl w:val="9"/>
              <w:rPr>
                <w:sz w:val="24"/>
              </w:rPr>
            </w:pPr>
            <w:r>
              <w:rPr>
                <w:sz w:val="24"/>
              </w:rPr>
              <w:t>3GEO</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6" w:hRule="atLeast"/>
        </w:trPr>
        <w:tc>
          <w:tcPr>
            <w:tcW w:w="964" w:type="dxa"/>
            <w:vMerge w:val="continue"/>
            <w:tcBorders>
              <w:top w:val="nil"/>
              <w:bottom w:val="single" w:color="000000" w:sz="4" w:space="0"/>
              <w:right w:val="single" w:color="000000" w:sz="4" w:space="0"/>
            </w:tcBorders>
          </w:tcPr>
          <w:p>
            <w:pPr>
              <w:outlineLvl w:val="9"/>
              <w:rPr>
                <w:sz w:val="2"/>
                <w:szCs w:val="2"/>
              </w:rPr>
            </w:pPr>
          </w:p>
        </w:tc>
        <w:tc>
          <w:tcPr>
            <w:tcW w:w="2546" w:type="dxa"/>
            <w:tcBorders>
              <w:top w:val="single" w:color="000000" w:sz="4" w:space="0"/>
              <w:left w:val="single" w:color="000000" w:sz="4" w:space="0"/>
              <w:bottom w:val="single" w:color="000000" w:sz="4" w:space="0"/>
              <w:right w:val="single" w:color="000000" w:sz="4" w:space="0"/>
            </w:tcBorders>
          </w:tcPr>
          <w:p>
            <w:pPr>
              <w:pStyle w:val="24"/>
              <w:spacing w:before="185"/>
              <w:ind w:left="416" w:right="400"/>
              <w:outlineLvl w:val="9"/>
              <w:rPr>
                <w:rFonts w:hint="eastAsia" w:ascii="宋体" w:eastAsia="宋体"/>
                <w:sz w:val="24"/>
              </w:rPr>
            </w:pPr>
            <w:r>
              <w:rPr>
                <w:rFonts w:hint="eastAsia" w:ascii="宋体" w:eastAsia="宋体"/>
                <w:sz w:val="24"/>
              </w:rPr>
              <w:t>地基增强</w:t>
            </w:r>
          </w:p>
        </w:tc>
        <w:tc>
          <w:tcPr>
            <w:tcW w:w="2964" w:type="dxa"/>
            <w:tcBorders>
              <w:top w:val="single" w:color="000000" w:sz="4" w:space="0"/>
              <w:left w:val="single" w:color="000000" w:sz="4" w:space="0"/>
              <w:bottom w:val="single" w:color="000000" w:sz="4" w:space="0"/>
              <w:right w:val="single" w:color="000000" w:sz="4" w:space="0"/>
            </w:tcBorders>
          </w:tcPr>
          <w:p>
            <w:pPr>
              <w:pStyle w:val="24"/>
              <w:spacing w:before="185"/>
              <w:ind w:left="109" w:right="92"/>
              <w:outlineLvl w:val="9"/>
              <w:rPr>
                <w:sz w:val="24"/>
              </w:rPr>
            </w:pPr>
            <w:r>
              <w:rPr>
                <w:sz w:val="24"/>
              </w:rPr>
              <w:t>2G</w:t>
            </w:r>
            <w:r>
              <w:rPr>
                <w:rFonts w:hint="eastAsia" w:ascii="宋体" w:eastAsia="宋体"/>
                <w:sz w:val="24"/>
              </w:rPr>
              <w:t>、</w:t>
            </w:r>
            <w:r>
              <w:rPr>
                <w:sz w:val="24"/>
              </w:rPr>
              <w:t>3G</w:t>
            </w:r>
            <w:r>
              <w:rPr>
                <w:rFonts w:hint="eastAsia" w:ascii="宋体" w:eastAsia="宋体"/>
                <w:sz w:val="24"/>
              </w:rPr>
              <w:t>、</w:t>
            </w:r>
            <w:r>
              <w:rPr>
                <w:sz w:val="24"/>
              </w:rPr>
              <w:t>4G</w:t>
            </w:r>
            <w:r>
              <w:rPr>
                <w:rFonts w:hint="eastAsia" w:ascii="宋体" w:eastAsia="宋体"/>
                <w:sz w:val="24"/>
              </w:rPr>
              <w:t>、</w:t>
            </w:r>
            <w:r>
              <w:rPr>
                <w:sz w:val="24"/>
              </w:rPr>
              <w:t>5G</w:t>
            </w:r>
          </w:p>
        </w:tc>
        <w:tc>
          <w:tcPr>
            <w:tcW w:w="2598" w:type="dxa"/>
            <w:tcBorders>
              <w:top w:val="single" w:color="000000" w:sz="4" w:space="0"/>
              <w:left w:val="single" w:color="000000" w:sz="4" w:space="0"/>
              <w:bottom w:val="single" w:color="000000" w:sz="4" w:space="0"/>
            </w:tcBorders>
          </w:tcPr>
          <w:p>
            <w:pPr>
              <w:pStyle w:val="24"/>
              <w:spacing w:before="11" w:line="320" w:lineRule="atLeast"/>
              <w:ind w:left="820" w:right="560" w:hanging="240"/>
              <w:jc w:val="left"/>
              <w:outlineLvl w:val="9"/>
              <w:rPr>
                <w:rFonts w:hint="eastAsia" w:ascii="宋体" w:eastAsia="宋体"/>
                <w:sz w:val="24"/>
              </w:rPr>
            </w:pPr>
            <w:r>
              <w:rPr>
                <w:rFonts w:hint="eastAsia" w:ascii="宋体" w:eastAsia="宋体"/>
                <w:sz w:val="24"/>
              </w:rPr>
              <w:t>移动通信网络互联网络</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7" w:hRule="atLeast"/>
        </w:trPr>
        <w:tc>
          <w:tcPr>
            <w:tcW w:w="964" w:type="dxa"/>
            <w:vMerge w:val="continue"/>
            <w:tcBorders>
              <w:top w:val="nil"/>
              <w:bottom w:val="single" w:color="000000" w:sz="4" w:space="0"/>
              <w:right w:val="single" w:color="000000" w:sz="4" w:space="0"/>
            </w:tcBorders>
          </w:tcPr>
          <w:p>
            <w:pPr>
              <w:outlineLvl w:val="9"/>
              <w:rPr>
                <w:sz w:val="2"/>
                <w:szCs w:val="2"/>
              </w:rPr>
            </w:pPr>
          </w:p>
        </w:tc>
        <w:tc>
          <w:tcPr>
            <w:tcW w:w="2546" w:type="dxa"/>
            <w:tcBorders>
              <w:top w:val="single" w:color="000000" w:sz="4" w:space="0"/>
              <w:left w:val="single" w:color="000000" w:sz="4" w:space="0"/>
              <w:bottom w:val="single" w:color="000000" w:sz="4" w:space="0"/>
              <w:right w:val="single" w:color="000000" w:sz="4" w:space="0"/>
            </w:tcBorders>
          </w:tcPr>
          <w:p>
            <w:pPr>
              <w:pStyle w:val="24"/>
              <w:spacing w:before="34" w:line="303" w:lineRule="exact"/>
              <w:ind w:left="416" w:right="400"/>
              <w:outlineLvl w:val="9"/>
              <w:rPr>
                <w:rFonts w:hint="eastAsia" w:ascii="宋体" w:eastAsia="宋体"/>
                <w:sz w:val="24"/>
              </w:rPr>
            </w:pPr>
            <w:r>
              <w:rPr>
                <w:rFonts w:hint="eastAsia" w:ascii="宋体" w:eastAsia="宋体"/>
                <w:sz w:val="24"/>
              </w:rPr>
              <w:t>精密单点定位</w:t>
            </w:r>
          </w:p>
        </w:tc>
        <w:tc>
          <w:tcPr>
            <w:tcW w:w="2964" w:type="dxa"/>
            <w:tcBorders>
              <w:top w:val="single" w:color="000000" w:sz="4" w:space="0"/>
              <w:left w:val="single" w:color="000000" w:sz="4" w:space="0"/>
              <w:bottom w:val="single" w:color="000000" w:sz="4" w:space="0"/>
              <w:right w:val="single" w:color="000000" w:sz="4" w:space="0"/>
            </w:tcBorders>
          </w:tcPr>
          <w:p>
            <w:pPr>
              <w:pStyle w:val="24"/>
              <w:spacing w:before="50"/>
              <w:ind w:left="109" w:right="92"/>
              <w:outlineLvl w:val="9"/>
              <w:rPr>
                <w:sz w:val="24"/>
              </w:rPr>
            </w:pPr>
            <w:r>
              <w:rPr>
                <w:sz w:val="24"/>
              </w:rPr>
              <w:t>PPP-B2b</w:t>
            </w:r>
          </w:p>
        </w:tc>
        <w:tc>
          <w:tcPr>
            <w:tcW w:w="2598" w:type="dxa"/>
            <w:tcBorders>
              <w:top w:val="single" w:color="000000" w:sz="4" w:space="0"/>
              <w:left w:val="single" w:color="000000" w:sz="4" w:space="0"/>
              <w:bottom w:val="single" w:color="000000" w:sz="4" w:space="0"/>
            </w:tcBorders>
          </w:tcPr>
          <w:p>
            <w:pPr>
              <w:pStyle w:val="24"/>
              <w:spacing w:before="50"/>
              <w:ind w:left="105" w:right="89"/>
              <w:outlineLvl w:val="9"/>
              <w:rPr>
                <w:sz w:val="24"/>
              </w:rPr>
            </w:pPr>
            <w:r>
              <w:rPr>
                <w:sz w:val="24"/>
              </w:rPr>
              <w:t>3GEO</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7" w:hRule="atLeast"/>
        </w:trPr>
        <w:tc>
          <w:tcPr>
            <w:tcW w:w="964" w:type="dxa"/>
            <w:vMerge w:val="continue"/>
            <w:tcBorders>
              <w:top w:val="nil"/>
              <w:bottom w:val="single" w:color="000000" w:sz="4" w:space="0"/>
              <w:right w:val="single" w:color="000000" w:sz="4" w:space="0"/>
            </w:tcBorders>
          </w:tcPr>
          <w:p>
            <w:pPr>
              <w:outlineLvl w:val="9"/>
              <w:rPr>
                <w:sz w:val="2"/>
                <w:szCs w:val="2"/>
              </w:rPr>
            </w:pPr>
          </w:p>
        </w:tc>
        <w:tc>
          <w:tcPr>
            <w:tcW w:w="2546" w:type="dxa"/>
            <w:tcBorders>
              <w:top w:val="single" w:color="000000" w:sz="4" w:space="0"/>
              <w:left w:val="single" w:color="000000" w:sz="4" w:space="0"/>
              <w:bottom w:val="single" w:color="000000" w:sz="4" w:space="0"/>
              <w:right w:val="single" w:color="000000" w:sz="4" w:space="0"/>
            </w:tcBorders>
          </w:tcPr>
          <w:p>
            <w:pPr>
              <w:pStyle w:val="24"/>
              <w:spacing w:before="183"/>
              <w:ind w:left="416" w:right="400"/>
              <w:outlineLvl w:val="9"/>
              <w:rPr>
                <w:rFonts w:hint="eastAsia" w:ascii="宋体" w:eastAsia="宋体"/>
                <w:sz w:val="24"/>
              </w:rPr>
            </w:pPr>
            <w:r>
              <w:rPr>
                <w:rFonts w:hint="eastAsia" w:ascii="宋体" w:eastAsia="宋体"/>
                <w:sz w:val="24"/>
              </w:rPr>
              <w:t>区域短报文通信</w:t>
            </w:r>
          </w:p>
        </w:tc>
        <w:tc>
          <w:tcPr>
            <w:tcW w:w="2964" w:type="dxa"/>
            <w:tcBorders>
              <w:top w:val="single" w:color="000000" w:sz="4" w:space="0"/>
              <w:left w:val="single" w:color="000000" w:sz="4" w:space="0"/>
              <w:bottom w:val="single" w:color="000000" w:sz="4" w:space="0"/>
              <w:right w:val="single" w:color="000000" w:sz="4" w:space="0"/>
            </w:tcBorders>
          </w:tcPr>
          <w:p>
            <w:pPr>
              <w:pStyle w:val="24"/>
              <w:spacing w:before="12" w:line="320" w:lineRule="atLeast"/>
              <w:ind w:left="1053" w:right="1031"/>
              <w:outlineLvl w:val="9"/>
              <w:rPr>
                <w:sz w:val="24"/>
              </w:rPr>
            </w:pPr>
            <w:r>
              <w:rPr>
                <w:rFonts w:hint="eastAsia" w:ascii="宋体" w:eastAsia="宋体"/>
                <w:sz w:val="24"/>
              </w:rPr>
              <w:t>上行：</w:t>
            </w:r>
            <w:r>
              <w:rPr>
                <w:sz w:val="24"/>
              </w:rPr>
              <w:t xml:space="preserve">L </w:t>
            </w:r>
            <w:r>
              <w:rPr>
                <w:rFonts w:hint="eastAsia" w:ascii="宋体" w:eastAsia="宋体"/>
                <w:sz w:val="24"/>
              </w:rPr>
              <w:t>下行：</w:t>
            </w:r>
            <w:r>
              <w:rPr>
                <w:sz w:val="24"/>
              </w:rPr>
              <w:t>S</w:t>
            </w:r>
          </w:p>
        </w:tc>
        <w:tc>
          <w:tcPr>
            <w:tcW w:w="2598" w:type="dxa"/>
            <w:tcBorders>
              <w:top w:val="single" w:color="000000" w:sz="4" w:space="0"/>
              <w:left w:val="single" w:color="000000" w:sz="4" w:space="0"/>
              <w:bottom w:val="single" w:color="000000" w:sz="4" w:space="0"/>
            </w:tcBorders>
          </w:tcPr>
          <w:p>
            <w:pPr>
              <w:pStyle w:val="24"/>
              <w:spacing w:before="199"/>
              <w:ind w:left="105" w:right="89"/>
              <w:outlineLvl w:val="9"/>
              <w:rPr>
                <w:sz w:val="24"/>
              </w:rPr>
            </w:pPr>
            <w:r>
              <w:rPr>
                <w:sz w:val="24"/>
              </w:rPr>
              <w:t>3GEO</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59" w:hRule="atLeast"/>
        </w:trPr>
        <w:tc>
          <w:tcPr>
            <w:tcW w:w="9072" w:type="dxa"/>
            <w:gridSpan w:val="4"/>
            <w:tcBorders>
              <w:top w:val="single" w:color="000000" w:sz="4" w:space="0"/>
            </w:tcBorders>
          </w:tcPr>
          <w:p>
            <w:pPr>
              <w:pStyle w:val="24"/>
              <w:spacing w:before="8"/>
              <w:ind w:left="10" w:right="0"/>
              <w:jc w:val="left"/>
              <w:outlineLvl w:val="9"/>
              <w:rPr>
                <w:rFonts w:hint="eastAsia" w:ascii="宋体" w:eastAsia="宋体"/>
                <w:sz w:val="24"/>
              </w:rPr>
            </w:pPr>
            <w:r>
              <w:rPr>
                <w:rFonts w:hint="eastAsia" w:ascii="宋体" w:eastAsia="宋体"/>
                <w:sz w:val="24"/>
              </w:rPr>
              <w:t>注：</w:t>
            </w:r>
          </w:p>
          <w:p>
            <w:pPr>
              <w:pStyle w:val="24"/>
              <w:numPr>
                <w:ilvl w:val="0"/>
                <w:numId w:val="2"/>
              </w:numPr>
              <w:tabs>
                <w:tab w:val="left" w:pos="612"/>
              </w:tabs>
              <w:spacing w:before="11" w:after="0" w:line="240" w:lineRule="auto"/>
              <w:ind w:left="611" w:right="0" w:hanging="602"/>
              <w:jc w:val="left"/>
              <w:outlineLvl w:val="9"/>
              <w:rPr>
                <w:rFonts w:hint="eastAsia" w:ascii="宋体" w:eastAsia="宋体"/>
                <w:sz w:val="24"/>
              </w:rPr>
            </w:pPr>
            <w:r>
              <w:rPr>
                <w:rFonts w:hint="eastAsia" w:ascii="宋体" w:eastAsia="宋体"/>
                <w:spacing w:val="-6"/>
                <w:sz w:val="24"/>
              </w:rPr>
              <w:t xml:space="preserve">中国及周边地区即东经 </w:t>
            </w:r>
            <w:r>
              <w:rPr>
                <w:sz w:val="24"/>
              </w:rPr>
              <w:t xml:space="preserve">75 </w:t>
            </w:r>
            <w:r>
              <w:rPr>
                <w:rFonts w:hint="eastAsia" w:ascii="宋体" w:eastAsia="宋体"/>
                <w:spacing w:val="-20"/>
                <w:sz w:val="24"/>
              </w:rPr>
              <w:t xml:space="preserve">度至 </w:t>
            </w:r>
            <w:r>
              <w:rPr>
                <w:sz w:val="24"/>
              </w:rPr>
              <w:t xml:space="preserve">135 </w:t>
            </w:r>
            <w:r>
              <w:rPr>
                <w:rFonts w:hint="eastAsia" w:ascii="宋体" w:eastAsia="宋体"/>
                <w:spacing w:val="-12"/>
                <w:sz w:val="24"/>
              </w:rPr>
              <w:t xml:space="preserve">度，北纬 </w:t>
            </w:r>
            <w:r>
              <w:rPr>
                <w:sz w:val="24"/>
              </w:rPr>
              <w:t xml:space="preserve">10 </w:t>
            </w:r>
            <w:r>
              <w:rPr>
                <w:rFonts w:hint="eastAsia" w:ascii="宋体" w:eastAsia="宋体"/>
                <w:spacing w:val="-20"/>
                <w:sz w:val="24"/>
              </w:rPr>
              <w:t xml:space="preserve">度至 </w:t>
            </w:r>
            <w:r>
              <w:rPr>
                <w:sz w:val="24"/>
              </w:rPr>
              <w:t xml:space="preserve">55 </w:t>
            </w:r>
            <w:r>
              <w:rPr>
                <w:rFonts w:hint="eastAsia" w:ascii="宋体" w:eastAsia="宋体"/>
                <w:sz w:val="24"/>
              </w:rPr>
              <w:t>度。</w:t>
            </w:r>
          </w:p>
          <w:p>
            <w:pPr>
              <w:pStyle w:val="24"/>
              <w:numPr>
                <w:ilvl w:val="0"/>
                <w:numId w:val="2"/>
              </w:numPr>
              <w:tabs>
                <w:tab w:val="left" w:pos="612"/>
              </w:tabs>
              <w:spacing w:before="12" w:after="0" w:line="293" w:lineRule="exact"/>
              <w:ind w:left="611" w:right="0" w:hanging="602"/>
              <w:jc w:val="left"/>
              <w:outlineLvl w:val="9"/>
              <w:rPr>
                <w:rFonts w:hint="eastAsia" w:ascii="宋体" w:eastAsia="宋体"/>
                <w:sz w:val="24"/>
              </w:rPr>
            </w:pPr>
            <w:r>
              <w:rPr>
                <w:sz w:val="24"/>
              </w:rPr>
              <w:t>GEO-</w:t>
            </w:r>
            <w:r>
              <w:rPr>
                <w:rFonts w:hint="eastAsia" w:ascii="宋体" w:eastAsia="宋体"/>
                <w:sz w:val="24"/>
              </w:rPr>
              <w:t>地球同步静止轨道，</w:t>
            </w:r>
            <w:r>
              <w:rPr>
                <w:sz w:val="24"/>
              </w:rPr>
              <w:t>IGSO-</w:t>
            </w:r>
            <w:r>
              <w:rPr>
                <w:rFonts w:hint="eastAsia" w:ascii="宋体" w:eastAsia="宋体"/>
                <w:sz w:val="24"/>
              </w:rPr>
              <w:t>倾斜地球同步轨道，</w:t>
            </w:r>
            <w:r>
              <w:rPr>
                <w:sz w:val="24"/>
              </w:rPr>
              <w:t>MEO-</w:t>
            </w:r>
            <w:r>
              <w:rPr>
                <w:rFonts w:hint="eastAsia" w:ascii="宋体" w:eastAsia="宋体"/>
                <w:sz w:val="24"/>
              </w:rPr>
              <w:t>中圆地球轨道。</w:t>
            </w:r>
          </w:p>
        </w:tc>
      </w:tr>
    </w:tbl>
    <w:p>
      <w:pPr>
        <w:pStyle w:val="6"/>
        <w:spacing w:before="2" w:line="340" w:lineRule="auto"/>
        <w:ind w:left="118" w:right="335" w:firstLine="559"/>
        <w:jc w:val="both"/>
        <w:outlineLvl w:val="9"/>
        <w:rPr>
          <w:rFonts w:ascii="Times New Roman" w:hAnsi="Times New Roman" w:eastAsia="Times New Roman" w:cs="宋体"/>
        </w:rPr>
      </w:pPr>
    </w:p>
    <w:p>
      <w:pPr>
        <w:pStyle w:val="6"/>
        <w:spacing w:before="2" w:line="340" w:lineRule="auto"/>
        <w:ind w:left="118" w:right="335" w:firstLine="559"/>
        <w:jc w:val="both"/>
        <w:outlineLvl w:val="9"/>
        <w:rPr>
          <w:rFonts w:ascii="Times New Roman" w:hAnsi="Times New Roman" w:eastAsia="Times New Roman" w:cs="宋体"/>
        </w:rPr>
      </w:pPr>
    </w:p>
    <w:p>
      <w:pPr>
        <w:pStyle w:val="6"/>
        <w:spacing w:before="2" w:line="340" w:lineRule="auto"/>
        <w:ind w:left="118" w:right="335" w:firstLine="559"/>
        <w:jc w:val="both"/>
        <w:outlineLvl w:val="9"/>
        <w:rPr>
          <w:rFonts w:ascii="Times New Roman" w:hAnsi="Times New Roman" w:eastAsia="Times New Roman" w:cs="宋体"/>
        </w:rPr>
      </w:pPr>
      <w:r>
        <w:rPr>
          <w:rFonts w:ascii="Times New Roman" w:hAnsi="Times New Roman" w:eastAsia="Times New Roman" w:cs="宋体"/>
        </w:rPr>
        <w:t>——定位导航授时服务。为全球用户提供服务，空间信号精度优于0.5 米；全球定位精度优于 10 米，测速精度优于 0.2 米/秒，授时精度优于20 纳秒；亚太地区定位精度优于 5 米，测速精度优于 0.1 米/秒，授时精度优于 10 纳秒，整体性能大幅提升。</w:t>
      </w:r>
    </w:p>
    <w:p>
      <w:pPr>
        <w:pStyle w:val="6"/>
        <w:spacing w:before="2" w:line="340" w:lineRule="auto"/>
        <w:ind w:left="118" w:right="335" w:firstLine="559"/>
        <w:jc w:val="both"/>
        <w:outlineLvl w:val="9"/>
        <w:rPr>
          <w:rFonts w:hint="eastAsia" w:eastAsia="宋体"/>
          <w:lang w:eastAsia="zh-CN"/>
        </w:rPr>
      </w:pPr>
      <w:bookmarkStart w:id="64" w:name="三、应用与产业化"/>
      <w:bookmarkEnd w:id="64"/>
      <w:r>
        <w:rPr>
          <w:rFonts w:ascii="Times New Roman" w:hAnsi="Times New Roman" w:eastAsia="Times New Roman" w:cs="宋体"/>
        </w:rPr>
        <w:t xml:space="preserve">——短报文通信服务。区域短报文通信服务，服务容量提高到 </w:t>
      </w:r>
      <w:r>
        <w:rPr>
          <w:rFonts w:ascii="Times New Roman" w:hAnsi="Times New Roman" w:eastAsia="Times New Roman"/>
        </w:rPr>
        <w:t>1000</w:t>
      </w:r>
      <w:r>
        <w:rPr>
          <w:spacing w:val="27"/>
        </w:rPr>
        <w:t>万次</w:t>
      </w:r>
      <w:r>
        <w:rPr>
          <w:rFonts w:ascii="Times New Roman" w:eastAsia="Times New Roman"/>
        </w:rPr>
        <w:t>/</w:t>
      </w:r>
      <w:r>
        <w:rPr>
          <w:rFonts w:ascii="Times New Roman" w:eastAsia="Times New Roman"/>
          <w:spacing w:val="-42"/>
        </w:rPr>
        <w:t xml:space="preserve"> </w:t>
      </w:r>
      <w:r>
        <w:rPr>
          <w:spacing w:val="7"/>
        </w:rPr>
        <w:t xml:space="preserve">小时， 接收机发射功率降低到 </w:t>
      </w:r>
      <w:r>
        <w:rPr>
          <w:rFonts w:ascii="Times New Roman" w:eastAsia="Times New Roman"/>
        </w:rPr>
        <w:t>1-3</w:t>
      </w:r>
      <w:r>
        <w:rPr>
          <w:rFonts w:ascii="Times New Roman" w:eastAsia="Times New Roman"/>
          <w:spacing w:val="33"/>
        </w:rPr>
        <w:t xml:space="preserve"> </w:t>
      </w:r>
      <w:r>
        <w:t xml:space="preserve">瓦， 单次通信能力 </w:t>
      </w:r>
      <w:r>
        <w:rPr>
          <w:rFonts w:ascii="Times New Roman" w:eastAsia="Times New Roman"/>
        </w:rPr>
        <w:t>1000</w:t>
      </w:r>
      <w:r>
        <w:rPr>
          <w:rFonts w:hint="eastAsia" w:ascii="Times New Roman"/>
          <w:lang w:val="en-US" w:eastAsia="zh-CN"/>
        </w:rPr>
        <w:t>汉</w:t>
      </w:r>
      <w:r>
        <w:rPr>
          <w:spacing w:val="14"/>
        </w:rPr>
        <w:t>字</w:t>
      </w:r>
      <w:r>
        <w:rPr>
          <w:spacing w:val="-3"/>
          <w:w w:val="100"/>
        </w:rPr>
        <w:t>（</w:t>
      </w:r>
      <w:r>
        <w:rPr>
          <w:rFonts w:ascii="Times New Roman" w:eastAsia="Times New Roman"/>
          <w:spacing w:val="1"/>
          <w:w w:val="100"/>
        </w:rPr>
        <w:t>1</w:t>
      </w:r>
      <w:r>
        <w:rPr>
          <w:rFonts w:ascii="Times New Roman" w:eastAsia="Times New Roman"/>
          <w:spacing w:val="-2"/>
          <w:w w:val="100"/>
        </w:rPr>
        <w:t>40</w:t>
      </w:r>
      <w:r>
        <w:rPr>
          <w:rFonts w:ascii="Times New Roman" w:eastAsia="Times New Roman"/>
          <w:spacing w:val="1"/>
          <w:w w:val="100"/>
        </w:rPr>
        <w:t>0</w:t>
      </w:r>
      <w:r>
        <w:rPr>
          <w:rFonts w:ascii="Times New Roman" w:eastAsia="Times New Roman"/>
          <w:w w:val="100"/>
        </w:rPr>
        <w:t>0</w:t>
      </w:r>
      <w:r>
        <w:rPr>
          <w:rFonts w:ascii="Times New Roman" w:eastAsia="Times New Roman"/>
          <w:spacing w:val="-2"/>
        </w:rPr>
        <w:t xml:space="preserve"> </w:t>
      </w:r>
      <w:r>
        <w:rPr>
          <w:spacing w:val="-1"/>
          <w:w w:val="100"/>
        </w:rPr>
        <w:t>比特</w:t>
      </w:r>
      <w:r>
        <w:rPr>
          <w:rFonts w:hint="eastAsia"/>
          <w:spacing w:val="-1"/>
          <w:w w:val="100"/>
          <w:lang w:eastAsia="zh-CN"/>
        </w:rPr>
        <w:t>）；</w:t>
      </w:r>
      <w:r>
        <w:rPr>
          <w:spacing w:val="-3"/>
          <w:w w:val="100"/>
        </w:rPr>
        <w:t>全球短报文通信服务，单次通信能力</w:t>
      </w:r>
      <w:r>
        <w:rPr>
          <w:spacing w:val="-73"/>
        </w:rPr>
        <w:t xml:space="preserve"> </w:t>
      </w:r>
      <w:r>
        <w:rPr>
          <w:rFonts w:ascii="Times New Roman" w:eastAsia="Times New Roman"/>
          <w:spacing w:val="1"/>
          <w:w w:val="100"/>
        </w:rPr>
        <w:t>4</w:t>
      </w:r>
      <w:r>
        <w:rPr>
          <w:rFonts w:ascii="Times New Roman" w:eastAsia="Times New Roman"/>
          <w:w w:val="100"/>
        </w:rPr>
        <w:t>0</w:t>
      </w:r>
      <w:r>
        <w:rPr>
          <w:rFonts w:ascii="Times New Roman" w:eastAsia="Times New Roman"/>
          <w:spacing w:val="-2"/>
        </w:rPr>
        <w:t xml:space="preserve"> </w:t>
      </w:r>
      <w:r>
        <w:rPr>
          <w:spacing w:val="-2"/>
          <w:w w:val="100"/>
        </w:rPr>
        <w:t>汉字</w:t>
      </w:r>
      <w:r>
        <w:rPr>
          <w:spacing w:val="-1"/>
          <w:w w:val="100"/>
        </w:rPr>
        <w:t>（</w:t>
      </w:r>
      <w:r>
        <w:rPr>
          <w:rFonts w:ascii="Times New Roman" w:eastAsia="Times New Roman"/>
          <w:spacing w:val="1"/>
          <w:w w:val="100"/>
        </w:rPr>
        <w:t>5</w:t>
      </w:r>
      <w:r>
        <w:rPr>
          <w:rFonts w:ascii="Times New Roman" w:eastAsia="Times New Roman"/>
          <w:spacing w:val="-2"/>
          <w:w w:val="100"/>
        </w:rPr>
        <w:t>6</w:t>
      </w:r>
      <w:r>
        <w:rPr>
          <w:rFonts w:ascii="Times New Roman" w:eastAsia="Times New Roman"/>
          <w:w w:val="100"/>
        </w:rPr>
        <w:t>0</w:t>
      </w:r>
      <w:r>
        <w:rPr>
          <w:rFonts w:ascii="Times New Roman" w:eastAsia="Times New Roman"/>
          <w:spacing w:val="-2"/>
        </w:rPr>
        <w:t xml:space="preserve"> </w:t>
      </w:r>
      <w:r>
        <w:rPr>
          <w:spacing w:val="-1"/>
          <w:w w:val="100"/>
        </w:rPr>
        <w:t>比特</w:t>
      </w:r>
      <w:r>
        <w:rPr>
          <w:rFonts w:hint="eastAsia"/>
          <w:spacing w:val="-1"/>
          <w:w w:val="100"/>
          <w:lang w:eastAsia="zh-CN"/>
        </w:rPr>
        <w:t>）</w:t>
      </w:r>
      <w:r>
        <w:rPr>
          <w:rFonts w:hint="eastAsia"/>
          <w:w w:val="100"/>
          <w:lang w:eastAsia="zh-CN"/>
        </w:rPr>
        <w:t>。</w:t>
      </w:r>
    </w:p>
    <w:p>
      <w:pPr>
        <w:pStyle w:val="6"/>
        <w:spacing w:before="162" w:line="348" w:lineRule="auto"/>
        <w:ind w:left="118" w:right="335" w:firstLine="559"/>
        <w:jc w:val="both"/>
        <w:outlineLvl w:val="9"/>
      </w:pPr>
      <w:r>
        <w:rPr>
          <w:rFonts w:ascii="Times New Roman" w:hAnsi="Times New Roman" w:eastAsia="Times New Roman"/>
        </w:rPr>
        <w:t>——</w:t>
      </w:r>
      <w:r>
        <w:t>星基增强服务。按照国际民航组织标准，服务中国及周边地区用户，支持单频及双频多星座两种增强服务模式，满足国际民航组织相关性能要求。</w:t>
      </w:r>
    </w:p>
    <w:p>
      <w:pPr>
        <w:pStyle w:val="6"/>
        <w:spacing w:line="348" w:lineRule="auto"/>
        <w:ind w:left="118" w:right="336" w:firstLine="559"/>
        <w:outlineLvl w:val="9"/>
      </w:pPr>
      <w:r>
        <w:rPr>
          <w:rFonts w:ascii="Times New Roman" w:hAnsi="Times New Roman" w:eastAsia="Times New Roman"/>
        </w:rPr>
        <w:t>——</w:t>
      </w:r>
      <w:r>
        <w:t>地基增强服务。利用移动通信网络或互联网络，向北斗基准站网覆盖区内的用户提供米级、分米级、厘米级、毫米级高精度定位服务。</w:t>
      </w:r>
    </w:p>
    <w:p>
      <w:pPr>
        <w:pStyle w:val="6"/>
        <w:spacing w:line="348" w:lineRule="auto"/>
        <w:ind w:left="118" w:right="165" w:firstLine="559"/>
        <w:outlineLvl w:val="9"/>
      </w:pPr>
      <w:r>
        <w:rPr>
          <w:rFonts w:ascii="Times New Roman" w:hAnsi="Times New Roman" w:eastAsia="Times New Roman"/>
        </w:rPr>
        <w:t>——</w:t>
      </w:r>
      <w:r>
        <w:t>精密单点定位服务。服务中国及周边地区用户，提供动态分米级、静态厘米级的精密定位服务。</w:t>
      </w:r>
    </w:p>
    <w:p>
      <w:pPr>
        <w:ind w:firstLine="560" w:firstLineChars="200"/>
        <w:jc w:val="left"/>
        <w:outlineLvl w:val="9"/>
        <w:rPr>
          <w:rFonts w:ascii="Times New Roman" w:hAnsi="Times New Roman" w:eastAsia="Times New Roman" w:cs="宋体"/>
          <w:kern w:val="2"/>
          <w:sz w:val="28"/>
          <w:szCs w:val="28"/>
          <w:lang w:val="zh-CN" w:eastAsia="zh-CN" w:bidi="zh-CN"/>
        </w:rPr>
      </w:pPr>
      <w:r>
        <w:rPr>
          <w:rFonts w:ascii="Times New Roman" w:hAnsi="Times New Roman" w:eastAsia="Times New Roman" w:cs="宋体"/>
          <w:kern w:val="2"/>
          <w:sz w:val="28"/>
          <w:szCs w:val="28"/>
          <w:lang w:val="zh-CN" w:eastAsia="zh-CN" w:bidi="zh-CN"/>
        </w:rPr>
        <w:t>——国际搜救服务。按照国际搜救卫星系统组织相关标准，与其他卫星导航系统共同组成全球中轨搜救系统，服务全球用户。同时提供返向链路，极大提升搜救效率和服务能力。</w:t>
      </w:r>
    </w:p>
    <w:p>
      <w:pPr>
        <w:pStyle w:val="2"/>
        <w:rPr>
          <w:lang w:val="zh-CN" w:eastAsia="zh-CN"/>
        </w:rPr>
      </w:pPr>
    </w:p>
    <w:p>
      <w:pPr>
        <w:jc w:val="center"/>
        <w:outlineLvl w:val="9"/>
        <w:rPr>
          <w:b/>
          <w:bCs/>
          <w:sz w:val="28"/>
          <w:szCs w:val="28"/>
        </w:rPr>
      </w:pPr>
      <w:bookmarkStart w:id="65" w:name="_bookmark11"/>
      <w:bookmarkEnd w:id="65"/>
      <w:r>
        <w:rPr>
          <w:b/>
          <w:bCs/>
          <w:sz w:val="28"/>
          <w:szCs w:val="28"/>
        </w:rPr>
        <w:t>三、应用与产业化</w:t>
      </w:r>
    </w:p>
    <w:p>
      <w:pPr>
        <w:pStyle w:val="6"/>
        <w:spacing w:before="11"/>
        <w:outlineLvl w:val="9"/>
        <w:rPr>
          <w:rFonts w:ascii="黑体"/>
          <w:sz w:val="39"/>
        </w:rPr>
      </w:pPr>
    </w:p>
    <w:p>
      <w:pPr>
        <w:pStyle w:val="6"/>
        <w:spacing w:line="362" w:lineRule="auto"/>
        <w:ind w:left="118" w:right="333" w:firstLine="559"/>
        <w:jc w:val="both"/>
        <w:outlineLvl w:val="9"/>
      </w:pPr>
      <w:r>
        <w:t>中国积极发展卫星导航应用产业，构建由基础产品、应用终端、应用系统和运营服务构成的产业链，持续加强北斗产业保障、推进和创新体系建设，不断改善产业环境，扩大应用规模，实现融合发展，提升卫星导航产业的综合效益。</w:t>
      </w:r>
    </w:p>
    <w:p>
      <w:pPr>
        <w:jc w:val="center"/>
        <w:outlineLvl w:val="9"/>
        <w:rPr>
          <w:sz w:val="24"/>
          <w:szCs w:val="24"/>
        </w:rPr>
      </w:pPr>
      <w:bookmarkStart w:id="66" w:name="（一）基础产品及设施"/>
      <w:bookmarkEnd w:id="66"/>
      <w:bookmarkStart w:id="67" w:name="_bookmark12"/>
      <w:bookmarkEnd w:id="67"/>
    </w:p>
    <w:p>
      <w:pPr>
        <w:numPr>
          <w:ilvl w:val="0"/>
          <w:numId w:val="3"/>
        </w:numPr>
        <w:jc w:val="center"/>
        <w:outlineLvl w:val="9"/>
        <w:rPr>
          <w:sz w:val="24"/>
          <w:szCs w:val="24"/>
        </w:rPr>
      </w:pPr>
      <w:r>
        <w:rPr>
          <w:sz w:val="24"/>
          <w:szCs w:val="24"/>
        </w:rPr>
        <w:t>基础产品及设施</w:t>
      </w:r>
    </w:p>
    <w:p>
      <w:pPr>
        <w:pStyle w:val="2"/>
        <w:numPr>
          <w:ilvl w:val="0"/>
          <w:numId w:val="0"/>
        </w:numPr>
        <w:ind w:right="-47" w:rightChars="0"/>
      </w:pPr>
    </w:p>
    <w:p>
      <w:pPr>
        <w:pStyle w:val="6"/>
        <w:spacing w:line="362" w:lineRule="auto"/>
        <w:ind w:left="118" w:right="333" w:firstLine="559"/>
        <w:jc w:val="both"/>
        <w:outlineLvl w:val="9"/>
      </w:pPr>
      <w:r>
        <w:rPr>
          <w:rFonts w:ascii="Times New Roman" w:hAnsi="Times New Roman" w:eastAsia="Times New Roman"/>
        </w:rPr>
        <w:t>——</w:t>
      </w:r>
      <w:r>
        <w:t>北斗</w:t>
      </w:r>
      <w:r>
        <w:rPr>
          <w:rFonts w:ascii="Times New Roman" w:hAnsi="Times New Roman" w:eastAsia="Times New Roman"/>
        </w:rPr>
        <w:t>/GNSS</w:t>
      </w:r>
      <w:r>
        <w:rPr>
          <w:rFonts w:ascii="Times New Roman" w:hAnsi="Times New Roman" w:eastAsia="Times New Roman"/>
          <w:spacing w:val="59"/>
        </w:rPr>
        <w:t xml:space="preserve"> </w:t>
      </w:r>
      <w:r>
        <w:t>基础产品已实现大众应用，技术达到国际先进水平。</w:t>
      </w:r>
      <w:r>
        <w:rPr>
          <w:spacing w:val="1"/>
        </w:rPr>
        <w:t xml:space="preserve">支持北斗三号系统信号的 </w:t>
      </w:r>
      <w:r>
        <w:rPr>
          <w:rFonts w:ascii="Times New Roman" w:hAnsi="Times New Roman" w:eastAsia="Times New Roman"/>
        </w:rPr>
        <w:t>28</w:t>
      </w:r>
      <w:r>
        <w:rPr>
          <w:rFonts w:ascii="Times New Roman" w:hAnsi="Times New Roman" w:eastAsia="Times New Roman"/>
          <w:spacing w:val="21"/>
        </w:rPr>
        <w:t xml:space="preserve"> </w:t>
      </w:r>
      <w:r>
        <w:rPr>
          <w:spacing w:val="6"/>
        </w:rPr>
        <w:t>纳米芯片已在物联网和消费电子领域得到广</w:t>
      </w:r>
      <w:r>
        <w:t>泛应用。</w:t>
      </w:r>
      <w:r>
        <w:rPr>
          <w:rFonts w:ascii="Times New Roman" w:hAnsi="Times New Roman" w:eastAsia="Times New Roman"/>
        </w:rPr>
        <w:t>22</w:t>
      </w:r>
      <w:r>
        <w:rPr>
          <w:rFonts w:ascii="Times New Roman" w:hAnsi="Times New Roman" w:eastAsia="Times New Roman"/>
          <w:spacing w:val="12"/>
        </w:rPr>
        <w:t xml:space="preserve"> </w:t>
      </w:r>
      <w:r>
        <w:t>纳米双频定位芯片已具备市场化应用条件，全频一体化高精度</w:t>
      </w:r>
      <w:r>
        <w:rPr>
          <w:spacing w:val="3"/>
        </w:rPr>
        <w:t xml:space="preserve">芯片已经投产，北斗芯片性能再上新台阶。截至 </w:t>
      </w:r>
      <w:r>
        <w:rPr>
          <w:rFonts w:ascii="Times New Roman" w:hAnsi="Times New Roman" w:eastAsia="Times New Roman"/>
        </w:rPr>
        <w:t>2019</w:t>
      </w:r>
      <w:r>
        <w:rPr>
          <w:rFonts w:ascii="Times New Roman" w:hAnsi="Times New Roman" w:eastAsia="Times New Roman"/>
          <w:spacing w:val="21"/>
        </w:rPr>
        <w:t xml:space="preserve"> </w:t>
      </w:r>
      <w:r>
        <w:rPr>
          <w:spacing w:val="6"/>
        </w:rPr>
        <w:t>年年底，国产北斗</w:t>
      </w:r>
      <w:r>
        <w:rPr>
          <w:spacing w:val="1"/>
        </w:rPr>
        <w:t xml:space="preserve">导航型芯片模块出货量已超 </w:t>
      </w:r>
      <w:r>
        <w:rPr>
          <w:rFonts w:ascii="Times New Roman" w:eastAsia="Times New Roman"/>
        </w:rPr>
        <w:t>1</w:t>
      </w:r>
      <w:r>
        <w:rPr>
          <w:rFonts w:ascii="Times New Roman" w:eastAsia="Times New Roman"/>
          <w:spacing w:val="14"/>
        </w:rPr>
        <w:t xml:space="preserve"> </w:t>
      </w:r>
      <w:r>
        <w:t xml:space="preserve">亿片，季度出货量突破 </w:t>
      </w:r>
      <w:r>
        <w:rPr>
          <w:rFonts w:ascii="Times New Roman" w:eastAsia="Times New Roman"/>
        </w:rPr>
        <w:t>1000</w:t>
      </w:r>
      <w:r>
        <w:rPr>
          <w:rFonts w:ascii="Times New Roman" w:eastAsia="Times New Roman"/>
          <w:spacing w:val="14"/>
        </w:rPr>
        <w:t xml:space="preserve"> </w:t>
      </w:r>
      <w:r>
        <w:rPr>
          <w:spacing w:val="5"/>
        </w:rPr>
        <w:t>万片。北斗导</w:t>
      </w:r>
      <w:r>
        <w:t xml:space="preserve">航型芯片、模块、高精度板卡和天线已输出到 </w:t>
      </w:r>
      <w:r>
        <w:rPr>
          <w:rFonts w:ascii="Times New Roman" w:eastAsia="Times New Roman"/>
        </w:rPr>
        <w:t xml:space="preserve">100 </w:t>
      </w:r>
      <w:r>
        <w:t>余个国家和地区。</w:t>
      </w:r>
    </w:p>
    <w:p>
      <w:pPr>
        <w:pStyle w:val="6"/>
        <w:spacing w:before="182" w:line="362" w:lineRule="auto"/>
        <w:ind w:left="118" w:right="333" w:firstLine="559"/>
        <w:jc w:val="both"/>
        <w:outlineLvl w:val="9"/>
        <w:rPr>
          <w:spacing w:val="-3"/>
        </w:rPr>
      </w:pPr>
      <w:r>
        <w:rPr>
          <w:rFonts w:ascii="Times New Roman" w:hAnsi="Times New Roman" w:eastAsia="Times New Roman"/>
          <w:spacing w:val="3"/>
        </w:rPr>
        <w:t>——</w:t>
      </w:r>
      <w:r>
        <w:t xml:space="preserve">北斗地基增强系统，自 </w:t>
      </w:r>
      <w:r>
        <w:rPr>
          <w:rFonts w:ascii="Times New Roman" w:hAnsi="Times New Roman" w:eastAsia="Times New Roman"/>
        </w:rPr>
        <w:t xml:space="preserve">2017 </w:t>
      </w:r>
      <w:r>
        <w:rPr>
          <w:spacing w:val="-30"/>
        </w:rPr>
        <w:t xml:space="preserve">年 </w:t>
      </w:r>
      <w:r>
        <w:rPr>
          <w:rFonts w:ascii="Times New Roman" w:hAnsi="Times New Roman" w:eastAsia="Times New Roman"/>
        </w:rPr>
        <w:t xml:space="preserve">7 </w:t>
      </w:r>
      <w:r>
        <w:rPr>
          <w:spacing w:val="6"/>
        </w:rPr>
        <w:t>月提供基本服务以来，在系统</w:t>
      </w:r>
      <w:r>
        <w:t>服务区内提供实时米级、分米级、厘米级和后处理毫米级增强定位服务， 已在交通、地震、气象、测绘、国土、科教等行业领域进行了应用推广。</w:t>
      </w:r>
      <w:r>
        <w:rPr>
          <w:spacing w:val="-20"/>
        </w:rPr>
        <w:t xml:space="preserve">截至 </w:t>
      </w:r>
      <w:r>
        <w:rPr>
          <w:rFonts w:ascii="Times New Roman" w:hAnsi="Times New Roman" w:eastAsia="Times New Roman"/>
        </w:rPr>
        <w:t xml:space="preserve">2019 </w:t>
      </w:r>
      <w:r>
        <w:rPr>
          <w:spacing w:val="-5"/>
        </w:rPr>
        <w:t xml:space="preserve">年年底，已在中国范围内建设 </w:t>
      </w:r>
      <w:r>
        <w:rPr>
          <w:rFonts w:ascii="Times New Roman" w:hAnsi="Times New Roman" w:eastAsia="Times New Roman"/>
        </w:rPr>
        <w:t xml:space="preserve">155 </w:t>
      </w:r>
      <w:r>
        <w:rPr>
          <w:spacing w:val="-7"/>
        </w:rPr>
        <w:t xml:space="preserve">个框架网基准站和 </w:t>
      </w:r>
      <w:r>
        <w:rPr>
          <w:rFonts w:ascii="Times New Roman" w:hAnsi="Times New Roman" w:eastAsia="Times New Roman"/>
        </w:rPr>
        <w:t xml:space="preserve">2200 </w:t>
      </w:r>
      <w:r>
        <w:t>余个</w:t>
      </w:r>
      <w:r>
        <w:rPr>
          <w:spacing w:val="-3"/>
        </w:rPr>
        <w:t>区域网基准站。</w:t>
      </w:r>
    </w:p>
    <w:p>
      <w:pPr>
        <w:pStyle w:val="6"/>
        <w:spacing w:before="182" w:line="362" w:lineRule="auto"/>
        <w:ind w:right="333"/>
        <w:jc w:val="both"/>
        <w:outlineLvl w:val="9"/>
        <w:rPr>
          <w:spacing w:val="-3"/>
        </w:rPr>
      </w:pPr>
    </w:p>
    <w:p>
      <w:pPr>
        <w:jc w:val="center"/>
        <w:outlineLvl w:val="9"/>
        <w:rPr>
          <w:sz w:val="24"/>
          <w:szCs w:val="24"/>
        </w:rPr>
      </w:pPr>
      <w:bookmarkStart w:id="68" w:name="（二）行业及区域应用"/>
      <w:bookmarkEnd w:id="68"/>
      <w:bookmarkStart w:id="69" w:name="_bookmark13"/>
      <w:bookmarkEnd w:id="69"/>
      <w:r>
        <w:rPr>
          <w:sz w:val="24"/>
          <w:szCs w:val="24"/>
        </w:rPr>
        <w:t>（二）行业及区域应用</w:t>
      </w:r>
    </w:p>
    <w:p>
      <w:pPr>
        <w:pStyle w:val="6"/>
        <w:spacing w:before="11"/>
        <w:outlineLvl w:val="9"/>
        <w:rPr>
          <w:sz w:val="34"/>
        </w:rPr>
      </w:pPr>
    </w:p>
    <w:p>
      <w:pPr>
        <w:pStyle w:val="6"/>
        <w:spacing w:line="362" w:lineRule="auto"/>
        <w:ind w:left="118" w:right="336" w:firstLine="559"/>
        <w:jc w:val="both"/>
        <w:outlineLvl w:val="9"/>
      </w:pPr>
      <w:r>
        <w:t>北斗系统提供服务以来，已在交通运输、农林渔业、水文监测、气象测报、通信授时、电力调度、救灾减灾、公共安全等领域得到广泛应用， 服务国家重要基础设施，产生了显著的经济效益和社会效益。</w:t>
      </w:r>
    </w:p>
    <w:p>
      <w:pPr>
        <w:pStyle w:val="6"/>
        <w:spacing w:before="4"/>
        <w:outlineLvl w:val="9"/>
        <w:rPr>
          <w:sz w:val="12"/>
        </w:rPr>
      </w:pPr>
    </w:p>
    <w:p>
      <w:pPr>
        <w:pStyle w:val="6"/>
        <w:spacing w:before="73" w:line="362" w:lineRule="auto"/>
        <w:ind w:left="118" w:right="335" w:firstLine="559"/>
        <w:jc w:val="both"/>
        <w:outlineLvl w:val="9"/>
        <w:rPr>
          <w:rFonts w:ascii="宋体" w:hAnsi="宋体" w:eastAsia="宋体" w:cs="宋体"/>
        </w:rPr>
      </w:pPr>
      <w:r>
        <w:rPr>
          <w:rFonts w:ascii="Times New Roman" w:hAnsi="Times New Roman" w:eastAsia="Times New Roman"/>
        </w:rPr>
        <w:t>——</w:t>
      </w:r>
      <w:r>
        <w:t>交通运输方面。北斗系统广泛应用于重点运输过程监控、公路基</w:t>
      </w:r>
      <w:r>
        <w:rPr>
          <w:spacing w:val="-2"/>
        </w:rPr>
        <w:t xml:space="preserve">础设施安全监控、港口高精度实时调度监控等领域。截至 </w:t>
      </w:r>
      <w:r>
        <w:rPr>
          <w:rFonts w:ascii="Times New Roman" w:hAnsi="Times New Roman" w:eastAsia="Times New Roman"/>
        </w:rPr>
        <w:t xml:space="preserve">2019 </w:t>
      </w:r>
      <w:r>
        <w:rPr>
          <w:spacing w:val="-27"/>
        </w:rPr>
        <w:t xml:space="preserve">年 </w:t>
      </w:r>
      <w:r>
        <w:rPr>
          <w:rFonts w:ascii="Times New Roman" w:hAnsi="Times New Roman" w:eastAsia="Times New Roman"/>
        </w:rPr>
        <w:t xml:space="preserve">12 </w:t>
      </w:r>
      <w:r>
        <w:t xml:space="preserve">月，国内超过 </w:t>
      </w:r>
      <w:r>
        <w:rPr>
          <w:rFonts w:ascii="Times New Roman" w:eastAsia="Times New Roman"/>
        </w:rPr>
        <w:t xml:space="preserve">650 </w:t>
      </w:r>
      <w:r>
        <w:t>万辆营运车辆、</w:t>
      </w:r>
      <w:r>
        <w:rPr>
          <w:rFonts w:ascii="Times New Roman" w:eastAsia="Times New Roman"/>
        </w:rPr>
        <w:t xml:space="preserve">4 </w:t>
      </w:r>
      <w:r>
        <w:t>万辆邮政和快递车辆，</w:t>
      </w:r>
      <w:r>
        <w:rPr>
          <w:rFonts w:ascii="Times New Roman" w:eastAsia="Times New Roman"/>
        </w:rPr>
        <w:t xml:space="preserve">36 </w:t>
      </w:r>
      <w:r>
        <w:t xml:space="preserve">个中心城市约 </w:t>
      </w:r>
      <w:r>
        <w:rPr>
          <w:rFonts w:ascii="Times New Roman" w:eastAsia="Times New Roman"/>
        </w:rPr>
        <w:t xml:space="preserve">8 </w:t>
      </w:r>
      <w:r>
        <w:t>万辆公交车、</w:t>
      </w:r>
      <w:r>
        <w:rPr>
          <w:rFonts w:ascii="Times New Roman" w:eastAsia="Times New Roman"/>
        </w:rPr>
        <w:t xml:space="preserve">3200 </w:t>
      </w:r>
      <w:r>
        <w:t>余座内河导航设施、</w:t>
      </w:r>
      <w:r>
        <w:rPr>
          <w:rFonts w:ascii="Times New Roman" w:eastAsia="Times New Roman"/>
        </w:rPr>
        <w:t xml:space="preserve">2900 </w:t>
      </w:r>
      <w:r>
        <w:t>余座海上导航设施已应用北斗系统，建成全球最大的营运车辆动态监管系统，正向铁路运输、内河航运、远洋航海、航空</w:t>
      </w:r>
      <w:r>
        <w:rPr>
          <w:rFonts w:ascii="宋体" w:hAnsi="宋体" w:eastAsia="宋体" w:cs="宋体"/>
        </w:rPr>
        <w:t>运输及交通基础设施建设管理方面纵深推进，提升了我国综合交通管理效率和运输安全水平。近年来中国道路运输重特大事故发生起数和死亡失踪人数均下降 50%。</w:t>
      </w:r>
    </w:p>
    <w:p>
      <w:pPr>
        <w:pStyle w:val="6"/>
        <w:spacing w:before="73" w:line="362" w:lineRule="auto"/>
        <w:ind w:left="118" w:right="335" w:firstLine="559"/>
        <w:jc w:val="both"/>
        <w:outlineLvl w:val="9"/>
        <w:rPr>
          <w:rFonts w:ascii="宋体" w:hAnsi="宋体" w:eastAsia="宋体" w:cs="宋体"/>
        </w:rPr>
      </w:pPr>
      <w:r>
        <w:rPr>
          <w:rFonts w:ascii="宋体" w:hAnsi="宋体" w:eastAsia="宋体" w:cs="宋体"/>
        </w:rPr>
        <w:t>——农林渔业方面。农业领域，基于北斗系统的农机自动驾驶系统超过 2 万台套，节约 50%的用工成本；基于北斗系统的农机作业监管平台和物联网平台为 10 万余台套农机设备提供服务，极大提高了作业管理效率。林业领域，北斗系统定位与短报文通信功能广泛应用于森林防火、天然林保护、森林自然调查、病虫害防治等。渔业领域，为渔业管理部门和渔船提供船位监控、紧急救援、信息发布、渔船出入港管理等服务，全国 7 万</w:t>
      </w:r>
      <w:r>
        <w:rPr>
          <w:rFonts w:hint="eastAsia" w:ascii="宋体" w:hAnsi="宋体" w:eastAsia="宋体" w:cs="宋体"/>
          <w:lang w:val="en-US" w:eastAsia="zh-CN"/>
        </w:rPr>
        <w:t>余</w:t>
      </w:r>
      <w:r>
        <w:rPr>
          <w:rFonts w:ascii="宋体" w:hAnsi="宋体" w:eastAsia="宋体" w:cs="宋体"/>
        </w:rPr>
        <w:t>只渔船和执法船安装北斗终端，累计救助 1 万余人。</w:t>
      </w:r>
    </w:p>
    <w:p>
      <w:pPr>
        <w:pStyle w:val="6"/>
        <w:spacing w:before="167" w:line="362" w:lineRule="auto"/>
        <w:ind w:left="118" w:right="165" w:firstLine="559"/>
        <w:outlineLvl w:val="9"/>
      </w:pPr>
      <w:r>
        <w:rPr>
          <w:rFonts w:ascii="Times New Roman" w:hAnsi="Times New Roman" w:eastAsia="Times New Roman"/>
        </w:rPr>
        <w:t>——</w:t>
      </w:r>
      <w:r>
        <w:t>水文监测方面。北斗系统成功应用于多山地域水文测报信息的实时传输，提高灾情预报的准确性，为制定防洪抗旱调度方案提供重要支持。</w:t>
      </w:r>
    </w:p>
    <w:p>
      <w:pPr>
        <w:pStyle w:val="6"/>
        <w:spacing w:line="362" w:lineRule="auto"/>
        <w:ind w:left="118" w:right="336" w:firstLine="559"/>
        <w:jc w:val="both"/>
        <w:outlineLvl w:val="9"/>
      </w:pPr>
      <w:r>
        <w:rPr>
          <w:rFonts w:ascii="Times New Roman" w:hAnsi="Times New Roman" w:eastAsia="Times New Roman"/>
        </w:rPr>
        <w:t>——</w:t>
      </w:r>
      <w:r>
        <w:t>气象测报方面。研制一系列气象测报型北斗终端设备，形成系统应用解决方案，提高了国内高空气象探空系统的观测精度、自动化水平和应急观测能力。</w:t>
      </w:r>
    </w:p>
    <w:p>
      <w:pPr>
        <w:pStyle w:val="6"/>
        <w:spacing w:line="362" w:lineRule="auto"/>
        <w:ind w:left="118" w:right="336" w:firstLine="559"/>
        <w:outlineLvl w:val="9"/>
      </w:pPr>
      <w:r>
        <w:rPr>
          <w:rFonts w:ascii="Times New Roman" w:hAnsi="Times New Roman" w:eastAsia="Times New Roman"/>
        </w:rPr>
        <w:t>——</w:t>
      </w:r>
      <w:r>
        <w:t>通信授时方面。突破光纤拉远等关键技术，研制出一体化卫星授时系统，北斗系统单双向授时得到成功应用。</w:t>
      </w:r>
    </w:p>
    <w:p>
      <w:pPr>
        <w:pStyle w:val="6"/>
        <w:spacing w:line="362" w:lineRule="auto"/>
        <w:ind w:left="118" w:right="333" w:firstLine="559"/>
        <w:outlineLvl w:val="9"/>
        <w:rPr>
          <w:sz w:val="20"/>
        </w:rPr>
      </w:pPr>
      <w:r>
        <w:rPr>
          <w:rFonts w:ascii="Times New Roman" w:hAnsi="Times New Roman" w:eastAsia="Times New Roman"/>
        </w:rPr>
        <w:t>——</w:t>
      </w:r>
      <w:r>
        <w:t>电力调度方面。基于北斗系统的电力时间同步应用，为在电力事故分析、电力预警系统、保护系统等高精度时间应用创造了条件。</w:t>
      </w:r>
    </w:p>
    <w:p>
      <w:pPr>
        <w:pStyle w:val="6"/>
        <w:spacing w:before="73" w:line="362" w:lineRule="auto"/>
        <w:ind w:left="118" w:right="333" w:firstLine="559"/>
        <w:jc w:val="both"/>
        <w:outlineLvl w:val="9"/>
      </w:pPr>
      <w:r>
        <w:rPr>
          <w:rFonts w:ascii="Times New Roman" w:hAnsi="Times New Roman" w:eastAsia="Times New Roman"/>
        </w:rPr>
        <w:t>——</w:t>
      </w:r>
      <w:r>
        <w:t>救灾减灾方面。基于北斗系统的导航、定位、短报文通信功能， 提供实时救灾指挥调度、应急通信、灾情信息快速上报与共享等服务，显著提高了灾害应急救援的快速反应能力和决策能力。已建成部、省、市</w:t>
      </w:r>
    </w:p>
    <w:p>
      <w:pPr>
        <w:pStyle w:val="6"/>
        <w:spacing w:line="362" w:lineRule="auto"/>
        <w:ind w:left="118" w:right="333"/>
        <w:jc w:val="both"/>
        <w:outlineLvl w:val="9"/>
      </w:pPr>
      <w:r>
        <w:rPr>
          <w:spacing w:val="4"/>
        </w:rPr>
        <w:t>（县）</w:t>
      </w:r>
      <w:r>
        <w:t xml:space="preserve">三级平台，实现六级业务应用，推广北斗终端超过 </w:t>
      </w:r>
      <w:r>
        <w:rPr>
          <w:rFonts w:ascii="Times New Roman" w:eastAsia="Times New Roman"/>
        </w:rPr>
        <w:t xml:space="preserve">4.5 </w:t>
      </w:r>
      <w:r>
        <w:rPr>
          <w:spacing w:val="3"/>
        </w:rPr>
        <w:t>万台。利用北斗</w:t>
      </w:r>
      <w:r>
        <w:rPr>
          <w:rFonts w:ascii="Times New Roman" w:eastAsia="Times New Roman"/>
          <w:spacing w:val="3"/>
        </w:rPr>
        <w:t>/GNSS</w:t>
      </w:r>
      <w:r>
        <w:rPr>
          <w:rFonts w:ascii="Times New Roman" w:eastAsia="Times New Roman"/>
          <w:spacing w:val="64"/>
        </w:rPr>
        <w:t xml:space="preserve"> </w:t>
      </w:r>
      <w:r>
        <w:t>高精度技术实现地质灾害监测，多次成功提前预警甘肃黄土滑</w:t>
      </w:r>
      <w:r>
        <w:rPr>
          <w:spacing w:val="-3"/>
        </w:rPr>
        <w:t>坡，时间精确到秒，移动范围精确到毫米。</w:t>
      </w:r>
    </w:p>
    <w:p>
      <w:pPr>
        <w:pStyle w:val="6"/>
        <w:spacing w:line="362" w:lineRule="auto"/>
        <w:ind w:left="118" w:right="165" w:firstLine="559"/>
        <w:outlineLvl w:val="9"/>
      </w:pPr>
      <w:r>
        <w:rPr>
          <w:rFonts w:ascii="Times New Roman" w:hAnsi="Times New Roman" w:eastAsia="Times New Roman"/>
        </w:rPr>
        <w:t>——</w:t>
      </w:r>
      <w:r>
        <w:t xml:space="preserve">公共安全方面。构建了部、省、市（县）三级北斗公安应用体系框架，全国 </w:t>
      </w:r>
      <w:r>
        <w:rPr>
          <w:rFonts w:ascii="Times New Roman" w:hAnsi="Times New Roman" w:eastAsia="Times New Roman"/>
        </w:rPr>
        <w:t xml:space="preserve">40 </w:t>
      </w:r>
      <w:r>
        <w:t>余万部北斗警用终端联入警用位置服务平台；通过北斗警用授时，统一了公安信息网时间基准。北斗系统在亚太经济合作组织会议、二十国集团峰会等重大活动安保中发挥了重要作用。</w:t>
      </w:r>
    </w:p>
    <w:p>
      <w:pPr>
        <w:pStyle w:val="6"/>
        <w:spacing w:line="362" w:lineRule="auto"/>
        <w:ind w:left="118" w:right="165" w:firstLine="559"/>
        <w:outlineLvl w:val="9"/>
      </w:pPr>
    </w:p>
    <w:p>
      <w:pPr>
        <w:jc w:val="center"/>
        <w:outlineLvl w:val="9"/>
        <w:rPr>
          <w:sz w:val="24"/>
          <w:szCs w:val="24"/>
        </w:rPr>
      </w:pPr>
      <w:bookmarkStart w:id="70" w:name="_bookmark14"/>
      <w:bookmarkEnd w:id="70"/>
      <w:bookmarkStart w:id="71" w:name="（三）大众应用"/>
      <w:bookmarkEnd w:id="71"/>
      <w:r>
        <w:rPr>
          <w:sz w:val="24"/>
          <w:szCs w:val="24"/>
        </w:rPr>
        <w:t>（三）大众应用</w:t>
      </w:r>
    </w:p>
    <w:p>
      <w:pPr>
        <w:pStyle w:val="6"/>
        <w:spacing w:before="11"/>
        <w:outlineLvl w:val="9"/>
        <w:rPr>
          <w:sz w:val="34"/>
        </w:rPr>
      </w:pPr>
    </w:p>
    <w:p>
      <w:pPr>
        <w:pStyle w:val="6"/>
        <w:spacing w:line="362" w:lineRule="auto"/>
        <w:ind w:left="118" w:right="165" w:firstLine="559"/>
        <w:outlineLvl w:val="9"/>
      </w:pPr>
      <w:r>
        <w:t xml:space="preserve">北斗系统大众服务发展前景广阔。基于北斗的导航服务已被电子商务、移动智能终端制造、位置服务等厂商采用，广泛进入中国大众消费、共享经济和民生领域，随着 </w:t>
      </w:r>
      <w:r>
        <w:rPr>
          <w:rFonts w:ascii="Times New Roman" w:eastAsia="Times New Roman"/>
        </w:rPr>
        <w:t xml:space="preserve">5G </w:t>
      </w:r>
      <w:r>
        <w:t>商用时代的到来，北斗正在与新一代移动通信、区块链、人工智能等新技术加速融合，北斗应用的新模式、新业态、新经济不断涌现，深刻改变着人们的生产生活方式。</w:t>
      </w:r>
    </w:p>
    <w:p>
      <w:pPr>
        <w:pStyle w:val="6"/>
        <w:spacing w:line="362" w:lineRule="auto"/>
        <w:ind w:left="118" w:right="335" w:firstLine="559"/>
        <w:outlineLvl w:val="9"/>
      </w:pPr>
      <w:r>
        <w:rPr>
          <w:rFonts w:ascii="Times New Roman" w:hAnsi="Times New Roman" w:eastAsia="Times New Roman"/>
        </w:rPr>
        <w:t>——</w:t>
      </w:r>
      <w:r>
        <w:t>电子商务领域。国内多家电子商务企业的物流货车及配送员，应用北斗车载终端和手环，实现了车、人、货信息的实时调度。</w:t>
      </w:r>
    </w:p>
    <w:p>
      <w:pPr>
        <w:pStyle w:val="6"/>
        <w:spacing w:line="362" w:lineRule="auto"/>
        <w:ind w:left="118" w:right="335" w:firstLine="559"/>
        <w:outlineLvl w:val="9"/>
      </w:pPr>
      <w:r>
        <w:rPr>
          <w:rFonts w:ascii="Times New Roman" w:hAnsi="Times New Roman" w:eastAsia="Times New Roman"/>
        </w:rPr>
        <w:t>——</w:t>
      </w:r>
      <w:r>
        <w:t xml:space="preserve">智能手机领域。国内外主流芯片厂商均推出兼容北斗的通导一体化芯片。截至 </w:t>
      </w:r>
      <w:r>
        <w:rPr>
          <w:rFonts w:ascii="Times New Roman" w:hAnsi="Times New Roman" w:eastAsia="Times New Roman"/>
        </w:rPr>
        <w:t xml:space="preserve">2019 </w:t>
      </w:r>
      <w:r>
        <w:t xml:space="preserve">年第三季度，在中国市场申请入网的手机有 </w:t>
      </w:r>
      <w:r>
        <w:rPr>
          <w:rFonts w:ascii="Times New Roman" w:hAnsi="Times New Roman" w:eastAsia="Times New Roman"/>
        </w:rPr>
        <w:t xml:space="preserve">400 </w:t>
      </w:r>
      <w:r>
        <w:t>余款</w:t>
      </w:r>
    </w:p>
    <w:p>
      <w:pPr>
        <w:pStyle w:val="6"/>
        <w:spacing w:line="355" w:lineRule="exact"/>
        <w:ind w:left="118"/>
        <w:outlineLvl w:val="9"/>
      </w:pPr>
      <w:r>
        <w:t xml:space="preserve">具有定位功能，其中支持北斗定位近 </w:t>
      </w:r>
      <w:r>
        <w:rPr>
          <w:rFonts w:ascii="Times New Roman" w:eastAsia="Times New Roman"/>
        </w:rPr>
        <w:t xml:space="preserve">300 </w:t>
      </w:r>
      <w:r>
        <w:t>款。</w:t>
      </w:r>
    </w:p>
    <w:p>
      <w:pPr>
        <w:pStyle w:val="6"/>
        <w:spacing w:before="169" w:line="362" w:lineRule="auto"/>
        <w:ind w:left="118" w:right="165" w:firstLine="559"/>
        <w:outlineLvl w:val="9"/>
      </w:pPr>
      <w:r>
        <w:rPr>
          <w:rFonts w:ascii="Times New Roman" w:hAnsi="Times New Roman" w:eastAsia="Times New Roman"/>
        </w:rPr>
        <w:t>——</w:t>
      </w:r>
      <w:r>
        <w:t>智能穿戴领域。多款支持北斗系统的手表、手环等智能穿戴设备， 以及学生卡、老人卡等特殊人群关爱产品不断涌现，得到广泛应用。</w:t>
      </w:r>
    </w:p>
    <w:p>
      <w:pPr>
        <w:pStyle w:val="6"/>
        <w:spacing w:before="9"/>
        <w:outlineLvl w:val="9"/>
        <w:rPr>
          <w:sz w:val="23"/>
        </w:rPr>
      </w:pPr>
    </w:p>
    <w:p>
      <w:pPr>
        <w:ind w:left="3603"/>
        <w:jc w:val="left"/>
        <w:outlineLvl w:val="9"/>
        <w:rPr>
          <w:sz w:val="24"/>
          <w:szCs w:val="24"/>
        </w:rPr>
      </w:pPr>
      <w:bookmarkStart w:id="72" w:name="四、国际交流与合作"/>
      <w:bookmarkEnd w:id="72"/>
      <w:bookmarkStart w:id="73" w:name="（四）政策保障与产业发展"/>
      <w:bookmarkEnd w:id="73"/>
      <w:bookmarkStart w:id="74" w:name="_bookmark15"/>
      <w:bookmarkEnd w:id="74"/>
    </w:p>
    <w:p>
      <w:pPr>
        <w:ind w:left="3603"/>
        <w:jc w:val="left"/>
        <w:outlineLvl w:val="9"/>
        <w:rPr>
          <w:sz w:val="24"/>
          <w:szCs w:val="24"/>
        </w:rPr>
      </w:pPr>
    </w:p>
    <w:p>
      <w:pPr>
        <w:ind w:left="3603"/>
        <w:jc w:val="left"/>
        <w:outlineLvl w:val="9"/>
        <w:rPr>
          <w:sz w:val="24"/>
          <w:szCs w:val="24"/>
        </w:rPr>
      </w:pPr>
    </w:p>
    <w:p>
      <w:pPr>
        <w:jc w:val="center"/>
        <w:outlineLvl w:val="9"/>
        <w:rPr>
          <w:sz w:val="24"/>
          <w:szCs w:val="24"/>
        </w:rPr>
      </w:pPr>
      <w:r>
        <w:rPr>
          <w:sz w:val="24"/>
          <w:szCs w:val="24"/>
        </w:rPr>
        <w:t>（四）政策保障与产业发展</w:t>
      </w:r>
    </w:p>
    <w:p>
      <w:pPr>
        <w:ind w:left="3603"/>
        <w:jc w:val="left"/>
        <w:outlineLvl w:val="9"/>
        <w:rPr>
          <w:sz w:val="24"/>
          <w:szCs w:val="24"/>
        </w:rPr>
      </w:pPr>
    </w:p>
    <w:p>
      <w:pPr>
        <w:pStyle w:val="6"/>
        <w:spacing w:before="1" w:line="348" w:lineRule="auto"/>
        <w:ind w:left="118" w:right="335" w:firstLine="559"/>
        <w:jc w:val="both"/>
        <w:outlineLvl w:val="9"/>
      </w:pPr>
      <w:r>
        <w:rPr>
          <w:rFonts w:ascii="Times New Roman" w:hAnsi="Times New Roman" w:eastAsia="Times New Roman"/>
        </w:rPr>
        <w:t>——</w:t>
      </w:r>
      <w:r>
        <w:t>国家持续推进卫星导航法治建设。中国政府高度重视并全面推进国家卫星导航法治建设，积极推进《中华人民共和国卫星导航条例》立法进程，保障卫星导航产业健康、快速、持续发展。</w:t>
      </w:r>
    </w:p>
    <w:p>
      <w:pPr>
        <w:pStyle w:val="6"/>
        <w:spacing w:line="348" w:lineRule="auto"/>
        <w:ind w:left="118" w:right="335" w:firstLine="559"/>
        <w:jc w:val="both"/>
        <w:outlineLvl w:val="9"/>
      </w:pPr>
      <w:r>
        <w:rPr>
          <w:rFonts w:ascii="Times New Roman" w:hAnsi="Times New Roman" w:eastAsia="Times New Roman"/>
        </w:rPr>
        <w:t>——</w:t>
      </w:r>
      <w:r>
        <w:t>国家层面政策规划先后部署。</w:t>
      </w:r>
      <w:r>
        <w:rPr>
          <w:rFonts w:ascii="Times New Roman" w:hAnsi="Times New Roman" w:eastAsia="Times New Roman"/>
        </w:rPr>
        <w:t>2013</w:t>
      </w:r>
      <w:r>
        <w:rPr>
          <w:rFonts w:ascii="Times New Roman" w:hAnsi="Times New Roman" w:eastAsia="Times New Roman"/>
          <w:spacing w:val="16"/>
        </w:rPr>
        <w:t xml:space="preserve"> </w:t>
      </w:r>
      <w:r>
        <w:t>年，发布《国家卫星导航产业</w:t>
      </w:r>
      <w:r>
        <w:rPr>
          <w:spacing w:val="-6"/>
        </w:rPr>
        <w:t xml:space="preserve">中长期发展规划》，从国家层面对卫星导航产业长期发展进行总体部署， </w:t>
      </w:r>
      <w:r>
        <w:t>提供国家宏观政策指导。</w:t>
      </w:r>
      <w:r>
        <w:rPr>
          <w:rFonts w:ascii="Times New Roman" w:hAnsi="Times New Roman" w:eastAsia="Times New Roman"/>
        </w:rPr>
        <w:t>2016</w:t>
      </w:r>
      <w:r>
        <w:rPr>
          <w:rFonts w:ascii="Times New Roman" w:hAnsi="Times New Roman" w:eastAsia="Times New Roman"/>
          <w:spacing w:val="12"/>
        </w:rPr>
        <w:t xml:space="preserve"> </w:t>
      </w:r>
      <w:r>
        <w:t>年，发布《中国北斗卫星导航系统》政府白</w:t>
      </w:r>
      <w:r>
        <w:rPr>
          <w:spacing w:val="-3"/>
        </w:rPr>
        <w:t>皮书，宣示北斗发展理念与政策主张。</w:t>
      </w:r>
    </w:p>
    <w:p>
      <w:pPr>
        <w:pStyle w:val="6"/>
        <w:spacing w:line="348" w:lineRule="auto"/>
        <w:ind w:left="118" w:right="335" w:firstLine="559"/>
        <w:jc w:val="both"/>
        <w:outlineLvl w:val="9"/>
      </w:pPr>
      <w:r>
        <w:rPr>
          <w:rFonts w:ascii="Times New Roman" w:hAnsi="Times New Roman" w:eastAsia="Times New Roman"/>
        </w:rPr>
        <w:t>——</w:t>
      </w:r>
      <w:r>
        <w:t xml:space="preserve">行业领域及区域应用指导性文件相继出台。国家发展和改革委员会、科学技术部、工业和信息化部、公安部、交通运输部、农业农村部等主管部门，以及国内 </w:t>
      </w:r>
      <w:r>
        <w:rPr>
          <w:rFonts w:ascii="Times New Roman" w:hAnsi="Times New Roman" w:eastAsia="Times New Roman"/>
        </w:rPr>
        <w:t xml:space="preserve">30 </w:t>
      </w:r>
      <w:r>
        <w:t>多个省（自治区、直辖市）和地区出台了一系列推动北斗系统应用的政策文件和具体举措。</w:t>
      </w:r>
    </w:p>
    <w:p>
      <w:pPr>
        <w:pStyle w:val="6"/>
        <w:spacing w:line="348" w:lineRule="auto"/>
        <w:ind w:left="118" w:right="333" w:firstLine="559"/>
        <w:jc w:val="both"/>
        <w:outlineLvl w:val="9"/>
      </w:pPr>
      <w:r>
        <w:rPr>
          <w:rFonts w:ascii="Times New Roman" w:hAnsi="Times New Roman" w:eastAsia="Times New Roman"/>
        </w:rPr>
        <w:t>——</w:t>
      </w:r>
      <w:r>
        <w:t xml:space="preserve">知识产权和标准化建设工作取得阶段成果。国家重视北斗知识产权的创造、运用、管理和保护。近年来，国内卫星导航专利申请量快速增长，截至 </w:t>
      </w:r>
      <w:r>
        <w:rPr>
          <w:rFonts w:ascii="Times New Roman" w:hAnsi="Times New Roman" w:eastAsia="Times New Roman"/>
        </w:rPr>
        <w:t xml:space="preserve">2019 </w:t>
      </w:r>
      <w:r>
        <w:t xml:space="preserve">年年底，申请累计 </w:t>
      </w:r>
      <w:r>
        <w:rPr>
          <w:rFonts w:ascii="Times New Roman" w:hAnsi="Times New Roman" w:eastAsia="Times New Roman"/>
        </w:rPr>
        <w:t xml:space="preserve">7 </w:t>
      </w:r>
      <w:r>
        <w:t>万件，位居全球第一。成立全国北斗卫星导航标准化技术委员会。北斗国家标准和专项标准陆续发布，北斗应用产业保障环境逐步完善。</w:t>
      </w:r>
    </w:p>
    <w:p>
      <w:pPr>
        <w:pStyle w:val="6"/>
        <w:spacing w:line="348" w:lineRule="auto"/>
        <w:ind w:left="118" w:right="333" w:firstLine="559"/>
        <w:jc w:val="both"/>
        <w:outlineLvl w:val="9"/>
      </w:pPr>
      <w:r>
        <w:rPr>
          <w:rFonts w:ascii="Times New Roman" w:hAnsi="Times New Roman" w:eastAsia="Times New Roman"/>
        </w:rPr>
        <w:t>——</w:t>
      </w:r>
      <w:r>
        <w:t>卫星导航是战略性新兴产业发展的重要领域，国家将进一步推动北斗与移动通信、云计算、物联网、工业互联网、大数据和区块链等技术的融合发展，促进卫星导航产业与高端制造业、先进软件业、综合数据业和现代服务业的融合发展，持续推进北斗应用与产业化发展，服务国家现代化建设和百姓日常生活，为全球科技、经济和社会发展做出贡献。</w:t>
      </w:r>
    </w:p>
    <w:p>
      <w:pPr>
        <w:pStyle w:val="6"/>
        <w:outlineLvl w:val="9"/>
        <w:rPr>
          <w:sz w:val="20"/>
        </w:rPr>
      </w:pPr>
    </w:p>
    <w:p>
      <w:pPr>
        <w:jc w:val="center"/>
        <w:outlineLvl w:val="9"/>
        <w:rPr>
          <w:b/>
          <w:bCs/>
          <w:sz w:val="28"/>
          <w:szCs w:val="28"/>
        </w:rPr>
      </w:pPr>
      <w:bookmarkStart w:id="75" w:name="_bookmark16"/>
      <w:bookmarkEnd w:id="75"/>
      <w:r>
        <w:rPr>
          <w:b/>
          <w:bCs/>
          <w:sz w:val="28"/>
          <w:szCs w:val="28"/>
        </w:rPr>
        <w:t>四、国际交流与合作</w:t>
      </w:r>
    </w:p>
    <w:p>
      <w:pPr>
        <w:pStyle w:val="6"/>
        <w:spacing w:before="10"/>
        <w:outlineLvl w:val="9"/>
        <w:rPr>
          <w:rFonts w:ascii="黑体"/>
          <w:sz w:val="38"/>
        </w:rPr>
      </w:pPr>
    </w:p>
    <w:p>
      <w:pPr>
        <w:pStyle w:val="6"/>
        <w:spacing w:line="348" w:lineRule="auto"/>
        <w:ind w:left="118" w:right="165" w:firstLine="559"/>
        <w:outlineLvl w:val="9"/>
      </w:pPr>
      <w:r>
        <w:t>北斗系统作为全球卫星导航系统四大核心供应商之一，坚持开放合作、资源共享的发展思路，积极务实开展国际交流与合作，促进全球卫星导航事业发展。</w:t>
      </w:r>
    </w:p>
    <w:p>
      <w:pPr>
        <w:ind w:left="3603"/>
        <w:jc w:val="left"/>
        <w:outlineLvl w:val="9"/>
        <w:rPr>
          <w:sz w:val="24"/>
          <w:szCs w:val="24"/>
        </w:rPr>
      </w:pPr>
      <w:bookmarkStart w:id="76" w:name="_bookmark17"/>
      <w:bookmarkEnd w:id="76"/>
      <w:bookmarkStart w:id="77" w:name="（一）系统间协调与合作"/>
      <w:bookmarkEnd w:id="77"/>
    </w:p>
    <w:p>
      <w:pPr>
        <w:jc w:val="center"/>
        <w:outlineLvl w:val="9"/>
        <w:rPr>
          <w:sz w:val="24"/>
          <w:szCs w:val="24"/>
        </w:rPr>
      </w:pPr>
      <w:r>
        <w:rPr>
          <w:sz w:val="24"/>
          <w:szCs w:val="24"/>
        </w:rPr>
        <w:t>（一）系统间协调与合作</w:t>
      </w:r>
    </w:p>
    <w:p>
      <w:pPr>
        <w:pStyle w:val="6"/>
        <w:spacing w:before="7"/>
        <w:outlineLvl w:val="9"/>
        <w:rPr>
          <w:sz w:val="33"/>
        </w:rPr>
      </w:pPr>
    </w:p>
    <w:p>
      <w:pPr>
        <w:pStyle w:val="6"/>
        <w:spacing w:line="348" w:lineRule="auto"/>
        <w:ind w:left="118" w:right="335" w:firstLine="559"/>
        <w:outlineLvl w:val="9"/>
      </w:pPr>
      <w:r>
        <w:t>持续与其他卫星导航系统开展协调合作，推动系统间兼容与互操作， 共同为全球用户提供更加优质的服务。</w:t>
      </w:r>
    </w:p>
    <w:p>
      <w:pPr>
        <w:pStyle w:val="6"/>
        <w:spacing w:line="348" w:lineRule="auto"/>
        <w:ind w:left="118" w:right="165" w:firstLine="559"/>
        <w:outlineLvl w:val="9"/>
      </w:pPr>
      <w:r>
        <w:rPr>
          <w:rFonts w:ascii="Times New Roman" w:hAnsi="Times New Roman" w:eastAsia="Times New Roman"/>
        </w:rPr>
        <w:t>——</w:t>
      </w:r>
      <w:r>
        <w:t xml:space="preserve">中俄卫星导航合作。在中俄总理定期会晤委员会框架下，成立了中俄卫星导航重大战略合作项目委员会；签署了中俄政府间《关于和平使用北斗和格洛纳斯全球卫星导航系统的合作协定》《中国北斗和俄罗斯格洛纳斯系统兼容与互操作联合声明》，以及《和平利用北斗系统和格洛纳斯系统开展导航技术应用合作的联合声明》等成果文件，并均已生效；围绕兼容与互操作、增强系统与建站、监测评估、联合应用等领域设立联合工作组，开展务实合作，推进 </w:t>
      </w:r>
      <w:r>
        <w:rPr>
          <w:rFonts w:ascii="Times New Roman" w:hAnsi="Times New Roman" w:eastAsia="Times New Roman"/>
        </w:rPr>
        <w:t xml:space="preserve">10 </w:t>
      </w:r>
      <w:r>
        <w:t>个标志性合作项目并取得阶段进展，完成中俄卫星导航监测评估服务平台建设并开通运行，促进两系统优势互补、融合发展。</w:t>
      </w:r>
    </w:p>
    <w:p>
      <w:pPr>
        <w:pStyle w:val="6"/>
        <w:spacing w:line="348" w:lineRule="auto"/>
        <w:ind w:left="118" w:right="333" w:firstLine="559"/>
        <w:jc w:val="both"/>
        <w:outlineLvl w:val="9"/>
      </w:pPr>
      <w:r>
        <w:rPr>
          <w:rFonts w:ascii="Times New Roman" w:hAnsi="Times New Roman" w:eastAsia="Times New Roman"/>
        </w:rPr>
        <w:t>——</w:t>
      </w:r>
      <w:r>
        <w:t>中美卫星导航合作。建立中美卫星导航合作对话机制，签署了系</w:t>
      </w:r>
      <w:r>
        <w:rPr>
          <w:spacing w:val="1"/>
        </w:rPr>
        <w:t>统间《中美卫星导航系统</w:t>
      </w:r>
      <w:r>
        <w:rPr>
          <w:spacing w:val="4"/>
        </w:rPr>
        <w:t>（</w:t>
      </w:r>
      <w:r>
        <w:rPr>
          <w:spacing w:val="2"/>
        </w:rPr>
        <w:t>民用</w:t>
      </w:r>
      <w:r>
        <w:rPr>
          <w:spacing w:val="4"/>
        </w:rPr>
        <w:t>）</w:t>
      </w:r>
      <w:r>
        <w:rPr>
          <w:spacing w:val="-18"/>
        </w:rPr>
        <w:t xml:space="preserve">合作声明》《北斗与 </w:t>
      </w:r>
      <w:r>
        <w:rPr>
          <w:rFonts w:ascii="Times New Roman" w:hAnsi="Times New Roman" w:eastAsia="Times New Roman"/>
        </w:rPr>
        <w:t xml:space="preserve">GPS </w:t>
      </w:r>
      <w:r>
        <w:rPr>
          <w:spacing w:val="2"/>
        </w:rPr>
        <w:t>信号兼容与互</w:t>
      </w:r>
      <w:r>
        <w:rPr>
          <w:spacing w:val="-2"/>
        </w:rPr>
        <w:t xml:space="preserve">操作联合声明》，标志着两系统实现了射频兼容，北斗系统 </w:t>
      </w:r>
      <w:r>
        <w:rPr>
          <w:rFonts w:ascii="Times New Roman" w:hAnsi="Times New Roman" w:eastAsia="Times New Roman"/>
        </w:rPr>
        <w:t xml:space="preserve">B1C </w:t>
      </w:r>
      <w:r>
        <w:rPr>
          <w:spacing w:val="9"/>
        </w:rPr>
        <w:t>信号与</w:t>
      </w:r>
      <w:r>
        <w:rPr>
          <w:rFonts w:ascii="Times New Roman" w:hAnsi="Times New Roman" w:eastAsia="Times New Roman"/>
          <w:spacing w:val="9"/>
        </w:rPr>
        <w:t xml:space="preserve">GPS </w:t>
      </w:r>
      <w:r>
        <w:rPr>
          <w:spacing w:val="34"/>
        </w:rPr>
        <w:t>系统</w:t>
      </w:r>
      <w:r>
        <w:rPr>
          <w:rFonts w:ascii="Times New Roman" w:hAnsi="Times New Roman" w:eastAsia="Times New Roman"/>
        </w:rPr>
        <w:t xml:space="preserve">L1C </w:t>
      </w:r>
      <w:r>
        <w:rPr>
          <w:spacing w:val="-3"/>
        </w:rPr>
        <w:t>信号达成互操作；在兼容与互操作、增强系统、民用服务等领域设立联合工作组，推动合作交流。</w:t>
      </w:r>
    </w:p>
    <w:p>
      <w:pPr>
        <w:pStyle w:val="6"/>
        <w:spacing w:line="348" w:lineRule="auto"/>
        <w:ind w:left="118" w:right="343" w:firstLine="576"/>
        <w:outlineLvl w:val="9"/>
      </w:pPr>
      <w:r>
        <w:rPr>
          <w:rFonts w:ascii="Times New Roman" w:hAnsi="Times New Roman" w:eastAsia="Times New Roman"/>
          <w:spacing w:val="5"/>
        </w:rPr>
        <w:t>——</w:t>
      </w:r>
      <w:r>
        <w:rPr>
          <w:spacing w:val="10"/>
        </w:rPr>
        <w:t>中欧卫星导航合作。成立了中欧兼容与互操作工作组，开展多</w:t>
      </w:r>
      <w:r>
        <w:rPr>
          <w:spacing w:val="9"/>
        </w:rPr>
        <w:t>轮会谈；持续推进频率协调；在中欧空间科技合作对话机制下开展广泛</w:t>
      </w:r>
      <w:r>
        <w:t>交流。</w:t>
      </w:r>
    </w:p>
    <w:p>
      <w:pPr>
        <w:pStyle w:val="6"/>
        <w:spacing w:before="7"/>
        <w:outlineLvl w:val="9"/>
        <w:rPr>
          <w:sz w:val="26"/>
        </w:rPr>
      </w:pPr>
    </w:p>
    <w:p>
      <w:pPr>
        <w:jc w:val="center"/>
        <w:outlineLvl w:val="9"/>
        <w:rPr>
          <w:sz w:val="24"/>
          <w:szCs w:val="24"/>
        </w:rPr>
      </w:pPr>
      <w:bookmarkStart w:id="78" w:name="（二）卫星导航多边合作"/>
      <w:bookmarkEnd w:id="78"/>
      <w:bookmarkStart w:id="79" w:name="_bookmark18"/>
      <w:bookmarkEnd w:id="79"/>
      <w:r>
        <w:rPr>
          <w:sz w:val="24"/>
          <w:szCs w:val="24"/>
        </w:rPr>
        <w:t>（二）卫星导航多边合作</w:t>
      </w:r>
    </w:p>
    <w:p>
      <w:pPr>
        <w:pStyle w:val="6"/>
        <w:spacing w:before="7"/>
        <w:outlineLvl w:val="9"/>
        <w:rPr>
          <w:sz w:val="33"/>
        </w:rPr>
      </w:pPr>
    </w:p>
    <w:p>
      <w:pPr>
        <w:pStyle w:val="6"/>
        <w:spacing w:line="348" w:lineRule="auto"/>
        <w:ind w:left="118" w:right="343" w:firstLine="576"/>
        <w:outlineLvl w:val="9"/>
        <w:rPr>
          <w:rFonts w:ascii="Times New Roman" w:hAnsi="Times New Roman" w:eastAsia="Times New Roman" w:cs="宋体"/>
          <w:spacing w:val="5"/>
        </w:rPr>
      </w:pPr>
      <w:r>
        <w:rPr>
          <w:rFonts w:ascii="Times New Roman" w:hAnsi="Times New Roman" w:eastAsia="Times New Roman" w:cs="宋体"/>
          <w:spacing w:val="5"/>
        </w:rPr>
        <w:t>中国积极参加联合国等国际组织和相关多边机制框架下的国际活动。</w:t>
      </w:r>
    </w:p>
    <w:p>
      <w:pPr>
        <w:pStyle w:val="6"/>
        <w:spacing w:before="162" w:line="348" w:lineRule="auto"/>
        <w:ind w:left="118" w:right="151" w:firstLine="559"/>
        <w:outlineLvl w:val="9"/>
      </w:pPr>
      <w:r>
        <w:rPr>
          <w:rFonts w:ascii="Times New Roman" w:hAnsi="Times New Roman" w:eastAsia="Times New Roman"/>
        </w:rPr>
        <w:t>——</w:t>
      </w:r>
      <w:r>
        <w:t xml:space="preserve">在国际电信联盟框架下，根据北斗系统建设规划和进展申报卫星网络资料，并开展国际协调。积极参与世界无线电通信大会以及国际电信 </w:t>
      </w:r>
      <w:r>
        <w:rPr>
          <w:spacing w:val="1"/>
        </w:rPr>
        <w:t>联盟研究组、工作组会议。积极推动</w:t>
      </w:r>
      <w:r>
        <w:rPr>
          <w:rFonts w:ascii="Times New Roman" w:hAnsi="Times New Roman" w:eastAsia="Times New Roman"/>
        </w:rPr>
        <w:t>S</w:t>
      </w:r>
      <w:r>
        <w:rPr>
          <w:rFonts w:ascii="Times New Roman" w:hAnsi="Times New Roman" w:eastAsia="Times New Roman"/>
          <w:spacing w:val="4"/>
        </w:rPr>
        <w:t xml:space="preserve"> </w:t>
      </w:r>
      <w:r>
        <w:rPr>
          <w:spacing w:val="-3"/>
        </w:rPr>
        <w:t xml:space="preserve">频段无线电卫星测定业务全球扩展， </w:t>
      </w:r>
      <w:r>
        <w:rPr>
          <w:spacing w:val="7"/>
        </w:rPr>
        <w:t>并与各国共同将</w:t>
      </w:r>
      <w:r>
        <w:rPr>
          <w:rFonts w:ascii="Times New Roman" w:hAnsi="Times New Roman" w:eastAsia="Times New Roman"/>
        </w:rPr>
        <w:t>S</w:t>
      </w:r>
      <w:r>
        <w:rPr>
          <w:rFonts w:ascii="Times New Roman" w:hAnsi="Times New Roman" w:eastAsia="Times New Roman"/>
          <w:spacing w:val="-3"/>
        </w:rPr>
        <w:t xml:space="preserve"> </w:t>
      </w:r>
      <w:r>
        <w:rPr>
          <w:spacing w:val="-2"/>
        </w:rPr>
        <w:t>频段</w:t>
      </w:r>
      <w:r>
        <w:t>（</w:t>
      </w:r>
      <w:r>
        <w:rPr>
          <w:rFonts w:ascii="Times New Roman" w:hAnsi="Times New Roman" w:eastAsia="Times New Roman"/>
        </w:rPr>
        <w:t>2483.5</w:t>
      </w:r>
      <w:r>
        <w:t>～</w:t>
      </w:r>
      <w:r>
        <w:rPr>
          <w:rFonts w:ascii="Times New Roman" w:hAnsi="Times New Roman" w:eastAsia="Times New Roman"/>
        </w:rPr>
        <w:t>2500MHz</w:t>
      </w:r>
      <w:r>
        <w:t>）</w:t>
      </w:r>
      <w:r>
        <w:rPr>
          <w:spacing w:val="-3"/>
        </w:rPr>
        <w:t>推动成为新的卫星导航频段。</w:t>
      </w:r>
    </w:p>
    <w:p>
      <w:pPr>
        <w:pStyle w:val="6"/>
        <w:spacing w:line="348" w:lineRule="auto"/>
        <w:ind w:left="118" w:right="103" w:firstLine="559"/>
        <w:outlineLvl w:val="9"/>
      </w:pPr>
      <w:r>
        <w:rPr>
          <w:rFonts w:ascii="Times New Roman" w:hAnsi="Times New Roman" w:eastAsia="Times New Roman"/>
        </w:rPr>
        <w:t>——</w:t>
      </w:r>
      <w:r>
        <w:rPr>
          <w:spacing w:val="4"/>
        </w:rPr>
        <w:t>中国作为联合国全球卫星导航系统国际委员会</w:t>
      </w:r>
      <w:r>
        <w:rPr>
          <w:spacing w:val="3"/>
        </w:rPr>
        <w:t>（</w:t>
      </w:r>
      <w:r>
        <w:rPr>
          <w:rFonts w:ascii="Times New Roman" w:hAnsi="Times New Roman" w:eastAsia="Times New Roman"/>
          <w:spacing w:val="3"/>
        </w:rPr>
        <w:t>ICG</w:t>
      </w:r>
      <w:r>
        <w:rPr>
          <w:spacing w:val="3"/>
        </w:rPr>
        <w:t xml:space="preserve">）及其供应 </w:t>
      </w:r>
      <w:r>
        <w:t xml:space="preserve">商论坛成员，积极参加联合国外空委系列会议，以及联合国外空司举办的 </w:t>
      </w:r>
      <w:r>
        <w:rPr>
          <w:spacing w:val="3"/>
        </w:rPr>
        <w:t>专题研讨会。北斗专家担任</w:t>
      </w:r>
      <w:r>
        <w:rPr>
          <w:rFonts w:ascii="Times New Roman" w:hAnsi="Times New Roman" w:eastAsia="Times New Roman"/>
        </w:rPr>
        <w:t>ICG</w:t>
      </w:r>
      <w:r>
        <w:rPr>
          <w:rFonts w:ascii="Times New Roman" w:hAnsi="Times New Roman" w:eastAsia="Times New Roman"/>
          <w:spacing w:val="7"/>
        </w:rPr>
        <w:t xml:space="preserve"> </w:t>
      </w:r>
      <w:r>
        <w:rPr>
          <w:spacing w:val="-3"/>
        </w:rPr>
        <w:t>多个工作组、子工作组及任务组联合主席， 推动机制改革，发起国际倡议，提出中国方案，贡献北斗智慧。</w:t>
      </w:r>
      <w:r>
        <w:rPr>
          <w:rFonts w:ascii="Times New Roman" w:hAnsi="Times New Roman" w:eastAsia="Times New Roman"/>
          <w:spacing w:val="-3"/>
        </w:rPr>
        <w:t>2012</w:t>
      </w:r>
      <w:r>
        <w:rPr>
          <w:rFonts w:ascii="Times New Roman" w:hAnsi="Times New Roman" w:eastAsia="Times New Roman"/>
          <w:spacing w:val="3"/>
        </w:rPr>
        <w:t xml:space="preserve"> </w:t>
      </w:r>
      <w:r>
        <w:t>年成</w:t>
      </w:r>
      <w:r>
        <w:rPr>
          <w:spacing w:val="-12"/>
        </w:rPr>
        <w:t xml:space="preserve">功举办 </w:t>
      </w:r>
      <w:r>
        <w:rPr>
          <w:rFonts w:ascii="Times New Roman" w:hAnsi="Times New Roman" w:eastAsia="Times New Roman"/>
        </w:rPr>
        <w:t>ICG</w:t>
      </w:r>
      <w:r>
        <w:rPr>
          <w:rFonts w:ascii="Times New Roman" w:hAnsi="Times New Roman" w:eastAsia="Times New Roman"/>
          <w:spacing w:val="11"/>
        </w:rPr>
        <w:t xml:space="preserve"> </w:t>
      </w:r>
      <w:r>
        <w:rPr>
          <w:spacing w:val="7"/>
        </w:rPr>
        <w:t>第七届大会，首次发表全球卫星导航系统共同宣言。</w:t>
      </w:r>
      <w:r>
        <w:rPr>
          <w:rFonts w:ascii="Times New Roman" w:hAnsi="Times New Roman" w:eastAsia="Times New Roman"/>
        </w:rPr>
        <w:t>2018</w:t>
      </w:r>
      <w:r>
        <w:rPr>
          <w:rFonts w:ascii="Times New Roman" w:hAnsi="Times New Roman" w:eastAsia="Times New Roman"/>
          <w:spacing w:val="15"/>
        </w:rPr>
        <w:t xml:space="preserve"> </w:t>
      </w:r>
      <w:r>
        <w:t>年</w:t>
      </w:r>
      <w:r>
        <w:rPr>
          <w:spacing w:val="17"/>
        </w:rPr>
        <w:t>成功举办</w:t>
      </w:r>
      <w:r>
        <w:rPr>
          <w:rFonts w:ascii="Times New Roman" w:hAnsi="Times New Roman" w:eastAsia="Times New Roman"/>
        </w:rPr>
        <w:t>ICG</w:t>
      </w:r>
      <w:r>
        <w:rPr>
          <w:rFonts w:ascii="Times New Roman" w:hAnsi="Times New Roman" w:eastAsia="Times New Roman"/>
          <w:spacing w:val="7"/>
        </w:rPr>
        <w:t xml:space="preserve"> </w:t>
      </w:r>
      <w:r>
        <w:t>第十三届大会，中国国家主席习近平向大会致贺信，表示中国</w:t>
      </w:r>
      <w:r>
        <w:rPr>
          <w:spacing w:val="-3"/>
        </w:rPr>
        <w:t>愿同各国共享北斗系统建设发展成果，共促全球卫星导航事业蓬勃发展。大</w:t>
      </w:r>
      <w:r>
        <w:rPr>
          <w:spacing w:val="-1"/>
        </w:rPr>
        <w:t>会发布了全球卫星导航系统空间服务域互操作手册，形成了共同发展卫 星</w:t>
      </w:r>
      <w:r>
        <w:rPr>
          <w:spacing w:val="4"/>
        </w:rPr>
        <w:t>导航的西安倡议。</w:t>
      </w:r>
      <w:r>
        <w:rPr>
          <w:rFonts w:ascii="Times New Roman" w:hAnsi="Times New Roman" w:eastAsia="Times New Roman"/>
        </w:rPr>
        <w:t>2019</w:t>
      </w:r>
      <w:r>
        <w:rPr>
          <w:rFonts w:ascii="Times New Roman" w:hAnsi="Times New Roman" w:eastAsia="Times New Roman"/>
          <w:spacing w:val="8"/>
        </w:rPr>
        <w:t xml:space="preserve"> </w:t>
      </w:r>
      <w:r>
        <w:rPr>
          <w:spacing w:val="-32"/>
        </w:rPr>
        <w:t xml:space="preserve">年 </w:t>
      </w:r>
      <w:r>
        <w:rPr>
          <w:rFonts w:ascii="Times New Roman" w:hAnsi="Times New Roman" w:eastAsia="Times New Roman"/>
        </w:rPr>
        <w:t>6</w:t>
      </w:r>
      <w:r>
        <w:rPr>
          <w:rFonts w:ascii="Times New Roman" w:hAnsi="Times New Roman" w:eastAsia="Times New Roman"/>
          <w:spacing w:val="9"/>
        </w:rPr>
        <w:t xml:space="preserve"> </w:t>
      </w:r>
      <w:r>
        <w:rPr>
          <w:spacing w:val="-19"/>
        </w:rPr>
        <w:t xml:space="preserve">月第 </w:t>
      </w:r>
      <w:r>
        <w:rPr>
          <w:rFonts w:ascii="Times New Roman" w:hAnsi="Times New Roman" w:eastAsia="Times New Roman"/>
        </w:rPr>
        <w:t>62</w:t>
      </w:r>
      <w:r>
        <w:rPr>
          <w:rFonts w:ascii="Times New Roman" w:hAnsi="Times New Roman" w:eastAsia="Times New Roman"/>
          <w:spacing w:val="9"/>
        </w:rPr>
        <w:t xml:space="preserve"> </w:t>
      </w:r>
      <w:r>
        <w:rPr>
          <w:spacing w:val="2"/>
        </w:rPr>
        <w:t>届联合国外空委大会期间，在维也纳</w:t>
      </w:r>
      <w:r>
        <w:rPr>
          <w:spacing w:val="-3"/>
        </w:rPr>
        <w:t>国际中心举行以“从指南针到北斗”为主题的中国古代导航展。</w:t>
      </w:r>
    </w:p>
    <w:p>
      <w:pPr>
        <w:pStyle w:val="6"/>
        <w:spacing w:line="348" w:lineRule="auto"/>
        <w:ind w:left="118" w:right="333" w:firstLine="559"/>
        <w:jc w:val="both"/>
        <w:outlineLvl w:val="9"/>
      </w:pPr>
      <w:r>
        <w:rPr>
          <w:rFonts w:ascii="Times New Roman" w:hAnsi="Times New Roman" w:eastAsia="Times New Roman"/>
        </w:rPr>
        <w:t>——</w:t>
      </w:r>
      <w:r>
        <w:t xml:space="preserve">连续举办中国卫星导航年会，年度参会人数逾 </w:t>
      </w:r>
      <w:r>
        <w:rPr>
          <w:rFonts w:ascii="Times New Roman" w:hAnsi="Times New Roman" w:eastAsia="Times New Roman"/>
        </w:rPr>
        <w:t xml:space="preserve">3000 </w:t>
      </w:r>
      <w:r>
        <w:t>人，积极与美、俄、欧导航会议构建互动机制，参与、组织和承办卫星导航国际学术交流活动。</w:t>
      </w:r>
    </w:p>
    <w:p>
      <w:pPr>
        <w:pStyle w:val="6"/>
        <w:spacing w:line="348" w:lineRule="auto"/>
        <w:ind w:left="118" w:right="333" w:firstLine="559"/>
        <w:jc w:val="both"/>
        <w:outlineLvl w:val="9"/>
        <w:rPr>
          <w:spacing w:val="-3"/>
        </w:rPr>
      </w:pPr>
      <w:r>
        <w:rPr>
          <w:rFonts w:ascii="Times New Roman" w:hAnsi="Times New Roman" w:eastAsia="Times New Roman"/>
        </w:rPr>
        <w:t>——</w:t>
      </w:r>
      <w:r>
        <w:t>在亚太空间合作组织框架下，实施监测评估、北斗</w:t>
      </w:r>
      <w:r>
        <w:rPr>
          <w:rFonts w:ascii="Times New Roman" w:hAnsi="Times New Roman" w:eastAsia="Times New Roman"/>
        </w:rPr>
        <w:t>/GNSS</w:t>
      </w:r>
      <w:r>
        <w:rPr>
          <w:rFonts w:ascii="Times New Roman" w:hAnsi="Times New Roman" w:eastAsia="Times New Roman"/>
          <w:spacing w:val="58"/>
        </w:rPr>
        <w:t xml:space="preserve"> </w:t>
      </w:r>
      <w:r>
        <w:t>兼容减</w:t>
      </w:r>
      <w:r>
        <w:rPr>
          <w:spacing w:val="-3"/>
        </w:rPr>
        <w:t>灾终端、北斗</w:t>
      </w:r>
      <w:r>
        <w:rPr>
          <w:rFonts w:ascii="Times New Roman" w:hAnsi="Times New Roman" w:eastAsia="Times New Roman"/>
        </w:rPr>
        <w:t xml:space="preserve">/GNSS </w:t>
      </w:r>
      <w:r>
        <w:rPr>
          <w:spacing w:val="-3"/>
        </w:rPr>
        <w:t>软件接收机、卫星导航教育培训等合作项目。</w:t>
      </w:r>
    </w:p>
    <w:p>
      <w:pPr>
        <w:pStyle w:val="6"/>
        <w:spacing w:line="348" w:lineRule="auto"/>
        <w:ind w:left="118" w:right="333" w:firstLine="559"/>
        <w:jc w:val="both"/>
        <w:outlineLvl w:val="9"/>
        <w:rPr>
          <w:spacing w:val="-3"/>
        </w:rPr>
      </w:pPr>
    </w:p>
    <w:p>
      <w:pPr>
        <w:jc w:val="center"/>
        <w:outlineLvl w:val="9"/>
        <w:rPr>
          <w:sz w:val="24"/>
          <w:szCs w:val="24"/>
        </w:rPr>
      </w:pPr>
      <w:bookmarkStart w:id="80" w:name="（三）北斗国际标准推进"/>
      <w:bookmarkEnd w:id="80"/>
      <w:bookmarkStart w:id="81" w:name="_bookmark19"/>
      <w:bookmarkEnd w:id="81"/>
      <w:r>
        <w:rPr>
          <w:sz w:val="24"/>
          <w:szCs w:val="24"/>
        </w:rPr>
        <w:t>（三）北斗国际标准推进</w:t>
      </w:r>
    </w:p>
    <w:p>
      <w:pPr>
        <w:pStyle w:val="6"/>
        <w:outlineLvl w:val="9"/>
        <w:rPr>
          <w:sz w:val="20"/>
        </w:rPr>
      </w:pPr>
    </w:p>
    <w:p>
      <w:pPr>
        <w:pStyle w:val="6"/>
        <w:spacing w:before="62" w:line="348" w:lineRule="auto"/>
        <w:ind w:left="118" w:right="335" w:firstLine="559"/>
        <w:outlineLvl w:val="9"/>
      </w:pPr>
      <w:r>
        <w:t>持续推动北斗系统进入民航、海事、移动通信、搜救卫星、电工委员会等国际组织相关标准，获得国际组织认可。</w:t>
      </w:r>
    </w:p>
    <w:p>
      <w:pPr>
        <w:pStyle w:val="6"/>
        <w:spacing w:line="348" w:lineRule="auto"/>
        <w:ind w:left="118" w:right="165" w:firstLine="559"/>
        <w:outlineLvl w:val="9"/>
      </w:pPr>
      <w:r>
        <w:rPr>
          <w:rFonts w:ascii="Times New Roman" w:hAnsi="Times New Roman" w:eastAsia="Times New Roman"/>
        </w:rPr>
        <w:t>——</w:t>
      </w:r>
      <w:r>
        <w:t>国际民航领域。积极推进北斗在国际民航组织下的标准制定工作， 已基本完成北斗全球信号技术指标验证，计划明年进入国际民航组织标准和建议措施。</w:t>
      </w:r>
    </w:p>
    <w:p>
      <w:pPr>
        <w:pStyle w:val="6"/>
        <w:spacing w:line="348" w:lineRule="auto"/>
        <w:ind w:left="118" w:right="335" w:firstLine="559"/>
        <w:jc w:val="both"/>
        <w:outlineLvl w:val="9"/>
      </w:pPr>
      <w:r>
        <w:rPr>
          <w:rFonts w:ascii="Times New Roman" w:hAnsi="Times New Roman" w:eastAsia="Times New Roman"/>
        </w:rPr>
        <w:t>——</w:t>
      </w:r>
      <w:r>
        <w:t>国际海事领域。在国际海事组织框架下成功推动北斗系统加入世界无线电导航系统，获得北斗海事领域应用合法地位；正在推进国际航标协会星基增强系统标准制修订工作。</w:t>
      </w:r>
    </w:p>
    <w:p>
      <w:pPr>
        <w:pStyle w:val="6"/>
        <w:spacing w:line="348" w:lineRule="auto"/>
        <w:ind w:left="118" w:right="333" w:firstLine="559"/>
        <w:jc w:val="both"/>
        <w:outlineLvl w:val="9"/>
        <w:rPr>
          <w:rFonts w:ascii="宋体" w:hAnsi="宋体" w:eastAsia="宋体" w:cs="宋体"/>
        </w:rPr>
      </w:pPr>
      <w:r>
        <w:rPr>
          <w:rFonts w:ascii="Times New Roman" w:hAnsi="Times New Roman" w:eastAsia="Times New Roman"/>
        </w:rPr>
        <w:t>——</w:t>
      </w:r>
      <w:r>
        <w:t xml:space="preserve">移动通信领域。完成 </w:t>
      </w:r>
      <w:r>
        <w:rPr>
          <w:rFonts w:ascii="Times New Roman" w:hAnsi="Times New Roman" w:eastAsia="Times New Roman"/>
        </w:rPr>
        <w:t xml:space="preserve">26 </w:t>
      </w:r>
      <w:r>
        <w:t xml:space="preserve">项北斗 </w:t>
      </w:r>
      <w:r>
        <w:rPr>
          <w:rFonts w:ascii="Times New Roman" w:hAnsi="Times New Roman" w:eastAsia="Times New Roman"/>
        </w:rPr>
        <w:t xml:space="preserve">B1I </w:t>
      </w:r>
      <w:r>
        <w:t xml:space="preserve">信号国际移动通信标准的制定，包括独立定位和网络辅助定位功能系列相关测试标准；正在开展支持北斗高精度应用的移动通信标准制定工作；支持北斗 </w:t>
      </w:r>
      <w:r>
        <w:rPr>
          <w:rFonts w:ascii="Times New Roman" w:hAnsi="Times New Roman" w:eastAsia="Times New Roman"/>
        </w:rPr>
        <w:t xml:space="preserve">B1C </w:t>
      </w:r>
      <w:r>
        <w:t xml:space="preserve">信号的首项 </w:t>
      </w:r>
      <w:r>
        <w:rPr>
          <w:rFonts w:ascii="Times New Roman" w:hAnsi="Times New Roman" w:eastAsia="Times New Roman"/>
        </w:rPr>
        <w:t xml:space="preserve">5G </w:t>
      </w:r>
      <w:r>
        <w:t>标准完</w:t>
      </w:r>
      <w:r>
        <w:rPr>
          <w:rFonts w:ascii="宋体" w:hAnsi="宋体" w:eastAsia="宋体" w:cs="宋体"/>
        </w:rPr>
        <w:t>成立项，计划明年发布。</w:t>
      </w:r>
    </w:p>
    <w:p>
      <w:pPr>
        <w:pStyle w:val="6"/>
        <w:spacing w:line="348" w:lineRule="auto"/>
        <w:ind w:left="118" w:right="333" w:firstLine="559"/>
        <w:jc w:val="both"/>
        <w:outlineLvl w:val="9"/>
        <w:rPr>
          <w:rFonts w:ascii="宋体" w:hAnsi="宋体" w:eastAsia="宋体" w:cs="宋体"/>
        </w:rPr>
      </w:pPr>
      <w:r>
        <w:rPr>
          <w:rFonts w:ascii="宋体" w:hAnsi="宋体" w:eastAsia="宋体" w:cs="宋体"/>
        </w:rPr>
        <w:t>——国际搜救领域。推动将北斗搜救载荷相关技术参数和指标信息写入国际搜救卫星组织有关文件，完成第一批搜救载荷研制和在轨测试，正在按程序开展入网测试。</w:t>
      </w:r>
    </w:p>
    <w:p>
      <w:pPr>
        <w:pStyle w:val="6"/>
        <w:spacing w:line="348" w:lineRule="auto"/>
        <w:ind w:left="118" w:right="333" w:firstLine="559"/>
        <w:jc w:val="both"/>
        <w:outlineLvl w:val="9"/>
        <w:rPr>
          <w:rFonts w:ascii="宋体" w:hAnsi="宋体" w:eastAsia="宋体" w:cs="宋体"/>
        </w:rPr>
      </w:pPr>
      <w:r>
        <w:rPr>
          <w:rFonts w:ascii="宋体" w:hAnsi="宋体" w:eastAsia="宋体" w:cs="宋体"/>
        </w:rPr>
        <w:t>——国际电工委员会领域。首个北斗船载接收机检测标准在国际电工委员会审议通过，计划明年发布。</w:t>
      </w:r>
    </w:p>
    <w:p>
      <w:pPr>
        <w:pStyle w:val="6"/>
        <w:spacing w:line="348" w:lineRule="auto"/>
        <w:ind w:left="118" w:right="333" w:firstLine="559"/>
        <w:jc w:val="both"/>
        <w:outlineLvl w:val="9"/>
        <w:rPr>
          <w:rFonts w:ascii="宋体" w:hAnsi="宋体" w:eastAsia="宋体" w:cs="宋体"/>
        </w:rPr>
      </w:pPr>
      <w:r>
        <w:rPr>
          <w:rFonts w:ascii="宋体" w:hAnsi="宋体" w:eastAsia="宋体" w:cs="宋体"/>
        </w:rPr>
        <w:t>——接收机通用数据格式领域。支持北斗高精度定位应用的接收机数据自主交换协议、差分数据协议和定位结果输出协议已正式发布。</w:t>
      </w:r>
    </w:p>
    <w:p>
      <w:pPr>
        <w:pStyle w:val="6"/>
        <w:spacing w:line="348" w:lineRule="auto"/>
        <w:ind w:left="118" w:right="333" w:firstLine="559"/>
        <w:jc w:val="both"/>
        <w:outlineLvl w:val="9"/>
        <w:rPr>
          <w:rFonts w:ascii="宋体" w:hAnsi="宋体" w:eastAsia="宋体" w:cs="宋体"/>
        </w:rPr>
      </w:pPr>
    </w:p>
    <w:p>
      <w:pPr>
        <w:jc w:val="center"/>
        <w:outlineLvl w:val="9"/>
        <w:rPr>
          <w:sz w:val="24"/>
          <w:szCs w:val="24"/>
        </w:rPr>
      </w:pPr>
      <w:bookmarkStart w:id="82" w:name="_bookmark20"/>
      <w:bookmarkEnd w:id="82"/>
      <w:bookmarkStart w:id="83" w:name="（四）北斗国际应用推广"/>
      <w:bookmarkEnd w:id="83"/>
      <w:r>
        <w:rPr>
          <w:sz w:val="24"/>
          <w:szCs w:val="24"/>
        </w:rPr>
        <w:t>（四）北斗国际应用推广</w:t>
      </w:r>
    </w:p>
    <w:p>
      <w:pPr>
        <w:pStyle w:val="6"/>
        <w:spacing w:line="348" w:lineRule="auto"/>
        <w:ind w:left="118" w:right="333" w:firstLine="559"/>
        <w:jc w:val="both"/>
        <w:outlineLvl w:val="9"/>
        <w:rPr>
          <w:rFonts w:ascii="宋体" w:hAnsi="宋体" w:eastAsia="宋体" w:cs="宋体"/>
        </w:rPr>
      </w:pPr>
    </w:p>
    <w:p>
      <w:pPr>
        <w:pStyle w:val="6"/>
        <w:spacing w:line="348" w:lineRule="auto"/>
        <w:ind w:left="118" w:right="333" w:firstLine="559"/>
        <w:jc w:val="both"/>
        <w:outlineLvl w:val="9"/>
        <w:rPr>
          <w:rFonts w:ascii="宋体" w:hAnsi="宋体" w:eastAsia="宋体" w:cs="宋体"/>
        </w:rPr>
      </w:pPr>
      <w:r>
        <w:rPr>
          <w:rFonts w:ascii="宋体" w:hAnsi="宋体" w:eastAsia="宋体" w:cs="宋体"/>
        </w:rPr>
        <w:t>北斗系统相关产品已输出到 100 余个国家，为用户提供了多样化的选择和更好的应用体验。基于北斗的土地确权、精准农业、数字施工、车辆船舶监管、智慧港口解决方案在东盟、南亚、东欧、西亚、非洲等得到成功应用。</w:t>
      </w:r>
    </w:p>
    <w:p>
      <w:pPr>
        <w:pStyle w:val="6"/>
        <w:spacing w:line="348" w:lineRule="auto"/>
        <w:ind w:left="118" w:right="333" w:firstLine="559"/>
        <w:jc w:val="both"/>
        <w:outlineLvl w:val="9"/>
        <w:rPr>
          <w:rFonts w:ascii="宋体" w:hAnsi="宋体" w:eastAsia="宋体" w:cs="宋体"/>
        </w:rPr>
      </w:pPr>
      <w:bookmarkStart w:id="84" w:name="结束语"/>
      <w:bookmarkEnd w:id="84"/>
      <w:r>
        <w:rPr>
          <w:rFonts w:ascii="宋体" w:hAnsi="宋体" w:eastAsia="宋体" w:cs="宋体"/>
        </w:rPr>
        <w:t>——举办卫星导航培训等活动，推动北斗国际应用落地。</w:t>
      </w:r>
    </w:p>
    <w:p>
      <w:pPr>
        <w:pStyle w:val="6"/>
        <w:spacing w:line="348" w:lineRule="auto"/>
        <w:ind w:left="118" w:right="333" w:firstLine="559"/>
        <w:jc w:val="both"/>
        <w:outlineLvl w:val="9"/>
        <w:rPr>
          <w:rFonts w:ascii="宋体" w:hAnsi="宋体" w:eastAsia="宋体" w:cs="宋体"/>
        </w:rPr>
      </w:pPr>
      <w:r>
        <w:rPr>
          <w:rFonts w:ascii="宋体" w:hAnsi="宋体" w:eastAsia="宋体" w:cs="宋体"/>
        </w:rPr>
        <w:t>——与阿盟、东盟、南亚、中亚、非洲等地区国家和国际组织开展卫星导航合作与交流，建立合作机制，签署合作文件，实施合作项目。</w:t>
      </w:r>
    </w:p>
    <w:p>
      <w:pPr>
        <w:pStyle w:val="6"/>
        <w:spacing w:line="348" w:lineRule="auto"/>
        <w:ind w:left="118" w:right="333" w:firstLine="559"/>
        <w:jc w:val="both"/>
        <w:outlineLvl w:val="9"/>
        <w:rPr>
          <w:rFonts w:ascii="宋体" w:hAnsi="宋体" w:eastAsia="宋体" w:cs="宋体"/>
        </w:rPr>
      </w:pPr>
      <w:r>
        <w:rPr>
          <w:rFonts w:ascii="宋体" w:hAnsi="宋体" w:eastAsia="宋体" w:cs="宋体"/>
        </w:rPr>
        <w:t>——在中国—中亚合作论坛框架下举办中国—中亚北斗合作论坛，签署合作文件，推动北斗系统服务中亚国家。</w:t>
      </w:r>
    </w:p>
    <w:p>
      <w:pPr>
        <w:pStyle w:val="6"/>
        <w:spacing w:line="348" w:lineRule="auto"/>
        <w:ind w:left="118" w:right="333" w:firstLine="559"/>
        <w:jc w:val="both"/>
        <w:outlineLvl w:val="9"/>
        <w:rPr>
          <w:rFonts w:ascii="宋体" w:hAnsi="宋体" w:eastAsia="宋体" w:cs="宋体"/>
        </w:rPr>
      </w:pPr>
      <w:r>
        <w:rPr>
          <w:rFonts w:ascii="宋体" w:hAnsi="宋体" w:eastAsia="宋体" w:cs="宋体"/>
        </w:rPr>
        <w:t>——举办中阿北斗合作论坛，举行卫星导航研讨会，建成中</w:t>
      </w:r>
      <w:r>
        <w:rPr>
          <w:rFonts w:hint="eastAsia" w:ascii="宋体" w:hAnsi="宋体" w:eastAsia="宋体" w:cs="宋体"/>
          <w:lang w:val="en-US" w:eastAsia="zh-CN"/>
        </w:rPr>
        <w:t>阿</w:t>
      </w:r>
      <w:r>
        <w:rPr>
          <w:rFonts w:ascii="宋体" w:hAnsi="宋体" w:eastAsia="宋体" w:cs="宋体"/>
        </w:rPr>
        <w:t>北斗/GNSS 中心，推动北斗系统服务阿拉伯国家建设。</w:t>
      </w:r>
    </w:p>
    <w:p>
      <w:pPr>
        <w:pStyle w:val="6"/>
        <w:spacing w:line="348" w:lineRule="auto"/>
        <w:ind w:left="118" w:right="333" w:firstLine="559"/>
        <w:jc w:val="both"/>
        <w:outlineLvl w:val="9"/>
        <w:rPr>
          <w:rFonts w:ascii="宋体" w:hAnsi="宋体" w:eastAsia="宋体" w:cs="宋体"/>
        </w:rPr>
      </w:pPr>
      <w:r>
        <w:rPr>
          <w:rFonts w:ascii="宋体" w:hAnsi="宋体" w:eastAsia="宋体" w:cs="宋体"/>
        </w:rPr>
        <w:t>——建立北斗国际交流培训中心，支持建设联合国附属空间科技教育区域中心，助力合作国培养卫星导航领域专业人才。</w:t>
      </w:r>
    </w:p>
    <w:p>
      <w:pPr>
        <w:pStyle w:val="6"/>
        <w:spacing w:line="348" w:lineRule="auto"/>
        <w:ind w:left="118" w:right="333" w:firstLine="559"/>
        <w:jc w:val="both"/>
        <w:outlineLvl w:val="9"/>
        <w:rPr>
          <w:rFonts w:ascii="宋体" w:hAnsi="宋体" w:eastAsia="宋体" w:cs="宋体"/>
        </w:rPr>
      </w:pPr>
      <w:r>
        <w:rPr>
          <w:rFonts w:ascii="宋体" w:hAnsi="宋体" w:eastAsia="宋体" w:cs="宋体"/>
        </w:rPr>
        <w:t>——开展北斗全球用户体验评价活动。欢迎全球用户和设备供应商体验系统服务、评价系统性能，并为北斗系统优化升级提供输入。</w:t>
      </w:r>
    </w:p>
    <w:p>
      <w:pPr>
        <w:pStyle w:val="6"/>
        <w:outlineLvl w:val="9"/>
        <w:rPr>
          <w:sz w:val="20"/>
        </w:rPr>
      </w:pPr>
    </w:p>
    <w:p>
      <w:pPr>
        <w:pStyle w:val="6"/>
        <w:outlineLvl w:val="9"/>
        <w:rPr>
          <w:sz w:val="20"/>
        </w:rPr>
      </w:pPr>
    </w:p>
    <w:p>
      <w:pPr>
        <w:ind w:left="3603"/>
        <w:jc w:val="left"/>
        <w:outlineLvl w:val="9"/>
        <w:rPr>
          <w:b/>
          <w:bCs/>
          <w:sz w:val="28"/>
          <w:szCs w:val="28"/>
        </w:rPr>
      </w:pPr>
      <w:bookmarkStart w:id="85" w:name="_bookmark21"/>
      <w:bookmarkEnd w:id="85"/>
    </w:p>
    <w:p>
      <w:pPr>
        <w:pStyle w:val="2"/>
      </w:pPr>
    </w:p>
    <w:p>
      <w:pPr>
        <w:ind w:left="3603"/>
        <w:jc w:val="left"/>
        <w:outlineLvl w:val="9"/>
        <w:rPr>
          <w:b/>
          <w:bCs/>
          <w:sz w:val="28"/>
          <w:szCs w:val="28"/>
        </w:rPr>
      </w:pPr>
      <w:r>
        <w:rPr>
          <w:b/>
          <w:bCs/>
          <w:sz w:val="28"/>
          <w:szCs w:val="28"/>
        </w:rPr>
        <w:t>结束语</w:t>
      </w:r>
    </w:p>
    <w:p>
      <w:pPr>
        <w:pStyle w:val="6"/>
        <w:spacing w:line="348" w:lineRule="auto"/>
        <w:ind w:left="118" w:right="165" w:firstLine="559"/>
        <w:outlineLvl w:val="9"/>
      </w:pPr>
      <w:r>
        <w:t>北斗卫星导航系统的建设与发展，得益于中国改革开放以来综合国力显著增强、经济持续稳定发展和科技创新能力大幅提升。中国将一如既往地推动卫星导航系统建设和产业发展，鼓励运用卫星导航新技术，不断拓展应用领域，满足人们日益增长的多样化需求；积极推动国际交流与合作， 实现与世界其他卫星导航系统的兼容与互操作，为全球用户提供更高性能、更加可靠和更加丰富的服务。</w:t>
      </w:r>
    </w:p>
    <w:p>
      <w:pPr>
        <w:pStyle w:val="6"/>
        <w:outlineLvl w:val="9"/>
        <w:rPr>
          <w:sz w:val="20"/>
        </w:rPr>
      </w:pPr>
    </w:p>
    <w:p>
      <w:pPr>
        <w:pStyle w:val="2"/>
        <w:jc w:val="right"/>
        <w:outlineLvl w:val="9"/>
        <w:rPr>
          <w:rFonts w:hint="default" w:ascii="宋体" w:hAnsi="宋体" w:eastAsia="宋体" w:cs="宋体"/>
          <w:b w:val="0"/>
          <w:bCs w:val="0"/>
          <w:i w:val="0"/>
          <w:kern w:val="2"/>
          <w:sz w:val="28"/>
          <w:szCs w:val="28"/>
          <w:lang w:val="en-US" w:eastAsia="zh-CN" w:bidi="ar-SA"/>
        </w:rPr>
      </w:pPr>
      <w:r>
        <w:rPr>
          <w:rFonts w:hint="eastAsia" w:ascii="宋体" w:hAnsi="宋体" w:eastAsia="宋体" w:cs="宋体"/>
          <w:b w:val="0"/>
          <w:bCs w:val="0"/>
          <w:i w:val="0"/>
          <w:kern w:val="2"/>
          <w:sz w:val="28"/>
          <w:szCs w:val="28"/>
          <w:lang w:val="en-US" w:eastAsia="zh-CN" w:bidi="ar-SA"/>
        </w:rPr>
        <w:t>（来源于北斗系统政府网站）</w:t>
      </w:r>
    </w:p>
    <w:p>
      <w:pPr>
        <w:pStyle w:val="2"/>
        <w:outlineLvl w:val="9"/>
        <w:rPr>
          <w:rFonts w:hint="eastAsia" w:ascii="宋体" w:hAnsi="宋体" w:eastAsia="宋体" w:cs="宋体"/>
          <w:b w:val="0"/>
          <w:bCs w:val="0"/>
          <w:i w:val="0"/>
          <w:kern w:val="2"/>
          <w:sz w:val="28"/>
          <w:szCs w:val="28"/>
          <w:lang w:val="en-US" w:eastAsia="zh-CN" w:bidi="ar-SA"/>
        </w:rPr>
      </w:pPr>
    </w:p>
    <w:p>
      <w:pPr>
        <w:pStyle w:val="2"/>
        <w:outlineLvl w:val="9"/>
        <w:rPr>
          <w:rFonts w:hint="eastAsia" w:ascii="宋体" w:hAnsi="宋体" w:eastAsia="宋体" w:cs="宋体"/>
          <w:b w:val="0"/>
          <w:bCs w:val="0"/>
          <w:i w:val="0"/>
          <w:kern w:val="2"/>
          <w:sz w:val="28"/>
          <w:szCs w:val="28"/>
          <w:lang w:val="en-US" w:eastAsia="zh-CN" w:bidi="ar-SA"/>
        </w:rPr>
      </w:pPr>
    </w:p>
    <w:p>
      <w:pPr>
        <w:pStyle w:val="2"/>
        <w:outlineLvl w:val="9"/>
        <w:rPr>
          <w:rFonts w:hint="eastAsia" w:ascii="宋体" w:hAnsi="宋体" w:eastAsia="宋体" w:cs="宋体"/>
          <w:b w:val="0"/>
          <w:bCs w:val="0"/>
          <w:i w:val="0"/>
          <w:kern w:val="2"/>
          <w:sz w:val="28"/>
          <w:szCs w:val="28"/>
          <w:lang w:val="en-US" w:eastAsia="zh-CN" w:bidi="ar-SA"/>
        </w:rPr>
      </w:pPr>
    </w:p>
    <w:p>
      <w:pPr>
        <w:pStyle w:val="2"/>
        <w:outlineLvl w:val="9"/>
        <w:rPr>
          <w:rFonts w:hint="eastAsia" w:ascii="宋体" w:hAnsi="宋体" w:eastAsia="宋体" w:cs="宋体"/>
          <w:b w:val="0"/>
          <w:bCs w:val="0"/>
          <w:i w:val="0"/>
          <w:kern w:val="2"/>
          <w:sz w:val="28"/>
          <w:szCs w:val="28"/>
          <w:lang w:val="en-US" w:eastAsia="zh-CN" w:bidi="ar-SA"/>
        </w:rPr>
      </w:pPr>
    </w:p>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ourier">
    <w:altName w:val="Courier New"/>
    <w:panose1 w:val="00000000000000000000"/>
    <w:charset w:val="00"/>
    <w:family w:val="auto"/>
    <w:pitch w:val="default"/>
    <w:sig w:usb0="00000000" w:usb1="00000000" w:usb2="00000000" w:usb3="00000000" w:csb0="00000000" w:csb1="00000000"/>
  </w:font>
  <w:font w:name="Microsoft YaHei U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1JoQUVAgAAFQ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ylRDOFHZ1+fD/9fDj9+kagA0Ct9TP4bSw8Q/fOdFj0oPdQxrm7&#10;yql4YyICO6A+XuAVXSA8Bk0n02kOE4dteCB/9hhunQ/vhVEkCgV12F+ClR3WPvSug0usps2qkTLt&#10;UGrSFvTq9Z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P1JoQUVAgAAFQQAAA4AAAAAAAAA&#10;AQAgAAAAHwEAAGRycy9lMm9Eb2MueG1sUEsFBgAAAAAGAAYAWQEAAKYFAAAAAA==&#10;">
              <v:fill on="f" focussize="0,0"/>
              <v:stroke on="f" weight="0.5pt"/>
              <v:imagedata o:title=""/>
              <o:lock v:ext="edit" aspectratio="f"/>
              <v:textbox inset="0mm,0mm,0mm,0mm" style="mso-fit-shape-to-text:t;">
                <w:txbxContent>
                  <w:p>
                    <w:pPr>
                      <w:pStyle w:val="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BC701FB"/>
    <w:multiLevelType w:val="singleLevel"/>
    <w:tmpl w:val="BBC701FB"/>
    <w:lvl w:ilvl="0" w:tentative="0">
      <w:start w:val="3"/>
      <w:numFmt w:val="chineseCounting"/>
      <w:suff w:val="nothing"/>
      <w:lvlText w:val="（%1）"/>
      <w:lvlJc w:val="left"/>
      <w:rPr>
        <w:rFonts w:hint="eastAsia"/>
      </w:rPr>
    </w:lvl>
  </w:abstractNum>
  <w:abstractNum w:abstractNumId="1">
    <w:nsid w:val="EF760EEE"/>
    <w:multiLevelType w:val="singleLevel"/>
    <w:tmpl w:val="EF760EEE"/>
    <w:lvl w:ilvl="0" w:tentative="0">
      <w:start w:val="1"/>
      <w:numFmt w:val="chineseCounting"/>
      <w:suff w:val="nothing"/>
      <w:lvlText w:val="（%1）"/>
      <w:lvlJc w:val="left"/>
      <w:rPr>
        <w:rFonts w:hint="eastAsia"/>
      </w:rPr>
    </w:lvl>
  </w:abstractNum>
  <w:abstractNum w:abstractNumId="2">
    <w:nsid w:val="25B654F3"/>
    <w:multiLevelType w:val="multilevel"/>
    <w:tmpl w:val="25B654F3"/>
    <w:lvl w:ilvl="0" w:tentative="0">
      <w:start w:val="1"/>
      <w:numFmt w:val="decimal"/>
      <w:lvlText w:val="（%1）"/>
      <w:lvlJc w:val="left"/>
      <w:pPr>
        <w:ind w:left="611" w:hanging="601"/>
        <w:jc w:val="left"/>
      </w:pPr>
      <w:rPr>
        <w:rFonts w:hint="default" w:ascii="宋体" w:hAnsi="宋体" w:eastAsia="宋体" w:cs="宋体"/>
        <w:spacing w:val="-60"/>
        <w:w w:val="100"/>
        <w:sz w:val="22"/>
        <w:szCs w:val="22"/>
        <w:lang w:val="zh-CN" w:eastAsia="zh-CN" w:bidi="zh-CN"/>
      </w:rPr>
    </w:lvl>
    <w:lvl w:ilvl="1" w:tentative="0">
      <w:start w:val="0"/>
      <w:numFmt w:val="bullet"/>
      <w:lvlText w:val="•"/>
      <w:lvlJc w:val="left"/>
      <w:pPr>
        <w:ind w:left="1463" w:hanging="601"/>
      </w:pPr>
      <w:rPr>
        <w:rFonts w:hint="default"/>
        <w:lang w:val="zh-CN" w:eastAsia="zh-CN" w:bidi="zh-CN"/>
      </w:rPr>
    </w:lvl>
    <w:lvl w:ilvl="2" w:tentative="0">
      <w:start w:val="0"/>
      <w:numFmt w:val="bullet"/>
      <w:lvlText w:val="•"/>
      <w:lvlJc w:val="left"/>
      <w:pPr>
        <w:ind w:left="2306" w:hanging="601"/>
      </w:pPr>
      <w:rPr>
        <w:rFonts w:hint="default"/>
        <w:lang w:val="zh-CN" w:eastAsia="zh-CN" w:bidi="zh-CN"/>
      </w:rPr>
    </w:lvl>
    <w:lvl w:ilvl="3" w:tentative="0">
      <w:start w:val="0"/>
      <w:numFmt w:val="bullet"/>
      <w:lvlText w:val="•"/>
      <w:lvlJc w:val="left"/>
      <w:pPr>
        <w:ind w:left="3149" w:hanging="601"/>
      </w:pPr>
      <w:rPr>
        <w:rFonts w:hint="default"/>
        <w:lang w:val="zh-CN" w:eastAsia="zh-CN" w:bidi="zh-CN"/>
      </w:rPr>
    </w:lvl>
    <w:lvl w:ilvl="4" w:tentative="0">
      <w:start w:val="0"/>
      <w:numFmt w:val="bullet"/>
      <w:lvlText w:val="•"/>
      <w:lvlJc w:val="left"/>
      <w:pPr>
        <w:ind w:left="3992" w:hanging="601"/>
      </w:pPr>
      <w:rPr>
        <w:rFonts w:hint="default"/>
        <w:lang w:val="zh-CN" w:eastAsia="zh-CN" w:bidi="zh-CN"/>
      </w:rPr>
    </w:lvl>
    <w:lvl w:ilvl="5" w:tentative="0">
      <w:start w:val="0"/>
      <w:numFmt w:val="bullet"/>
      <w:lvlText w:val="•"/>
      <w:lvlJc w:val="left"/>
      <w:pPr>
        <w:ind w:left="4836" w:hanging="601"/>
      </w:pPr>
      <w:rPr>
        <w:rFonts w:hint="default"/>
        <w:lang w:val="zh-CN" w:eastAsia="zh-CN" w:bidi="zh-CN"/>
      </w:rPr>
    </w:lvl>
    <w:lvl w:ilvl="6" w:tentative="0">
      <w:start w:val="0"/>
      <w:numFmt w:val="bullet"/>
      <w:lvlText w:val="•"/>
      <w:lvlJc w:val="left"/>
      <w:pPr>
        <w:ind w:left="5679" w:hanging="601"/>
      </w:pPr>
      <w:rPr>
        <w:rFonts w:hint="default"/>
        <w:lang w:val="zh-CN" w:eastAsia="zh-CN" w:bidi="zh-CN"/>
      </w:rPr>
    </w:lvl>
    <w:lvl w:ilvl="7" w:tentative="0">
      <w:start w:val="0"/>
      <w:numFmt w:val="bullet"/>
      <w:lvlText w:val="•"/>
      <w:lvlJc w:val="left"/>
      <w:pPr>
        <w:ind w:left="6522" w:hanging="601"/>
      </w:pPr>
      <w:rPr>
        <w:rFonts w:hint="default"/>
        <w:lang w:val="zh-CN" w:eastAsia="zh-CN" w:bidi="zh-CN"/>
      </w:rPr>
    </w:lvl>
    <w:lvl w:ilvl="8" w:tentative="0">
      <w:start w:val="0"/>
      <w:numFmt w:val="bullet"/>
      <w:lvlText w:val="•"/>
      <w:lvlJc w:val="left"/>
      <w:pPr>
        <w:ind w:left="7365" w:hanging="601"/>
      </w:pPr>
      <w:rPr>
        <w:rFonts w:hint="default"/>
        <w:lang w:val="zh-CN" w:eastAsia="zh-CN" w:bidi="zh-CN"/>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52E2EC2"/>
    <w:rsid w:val="04DF0FF6"/>
    <w:rsid w:val="087C2D4D"/>
    <w:rsid w:val="0B3777DC"/>
    <w:rsid w:val="11EB3DE4"/>
    <w:rsid w:val="199C3CC6"/>
    <w:rsid w:val="1DBD56B6"/>
    <w:rsid w:val="1DCE680F"/>
    <w:rsid w:val="26CB60AF"/>
    <w:rsid w:val="38042D01"/>
    <w:rsid w:val="3CDF4065"/>
    <w:rsid w:val="49117703"/>
    <w:rsid w:val="4ACA07BF"/>
    <w:rsid w:val="552E2EC2"/>
    <w:rsid w:val="5701774C"/>
    <w:rsid w:val="6DA5351B"/>
    <w:rsid w:val="72DB66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rFonts w:hint="eastAsia" w:ascii="宋体" w:hAnsi="宋体" w:eastAsia="宋体" w:cs="宋体"/>
      <w:b/>
      <w:kern w:val="44"/>
      <w:sz w:val="24"/>
      <w:szCs w:val="24"/>
      <w:lang w:val="en-US" w:eastAsia="zh-CN" w:bidi="ar"/>
    </w:rPr>
  </w:style>
  <w:style w:type="paragraph" w:styleId="4">
    <w:name w:val="heading 2"/>
    <w:basedOn w:val="1"/>
    <w:next w:val="1"/>
    <w:unhideWhenUsed/>
    <w:qFormat/>
    <w:uiPriority w:val="9"/>
    <w:pPr>
      <w:spacing w:beforeAutospacing="1" w:afterAutospacing="1"/>
      <w:jc w:val="left"/>
      <w:outlineLvl w:val="1"/>
    </w:pPr>
    <w:rPr>
      <w:rFonts w:hint="eastAsia" w:ascii="宋体" w:hAnsi="宋体" w:eastAsia="宋体" w:cs="Times New Roman"/>
      <w:b/>
      <w:kern w:val="0"/>
      <w:sz w:val="36"/>
      <w:szCs w:val="36"/>
    </w:rPr>
  </w:style>
  <w:style w:type="paragraph" w:styleId="5">
    <w:name w:val="heading 3"/>
    <w:basedOn w:val="1"/>
    <w:next w:val="1"/>
    <w:unhideWhenUsed/>
    <w:qFormat/>
    <w:uiPriority w:val="9"/>
    <w:pPr>
      <w:spacing w:beforeAutospacing="1" w:afterAutospacing="1"/>
      <w:jc w:val="left"/>
      <w:outlineLvl w:val="2"/>
    </w:pPr>
    <w:rPr>
      <w:rFonts w:hint="eastAsia" w:ascii="宋体" w:hAnsi="宋体" w:eastAsia="宋体" w:cs="Times New Roman"/>
      <w:b/>
      <w:kern w:val="0"/>
      <w:sz w:val="27"/>
      <w:szCs w:val="27"/>
    </w:rPr>
  </w:style>
  <w:style w:type="character" w:default="1" w:styleId="13">
    <w:name w:val="Default Paragraph Font"/>
    <w:semiHidden/>
    <w:qFormat/>
    <w:uiPriority w:val="0"/>
  </w:style>
  <w:style w:type="table" w:default="1" w:styleId="12">
    <w:name w:val="Normal Table"/>
    <w:semiHidden/>
    <w:uiPriority w:val="0"/>
    <w:tblPr>
      <w:tblCellMar>
        <w:top w:w="0" w:type="dxa"/>
        <w:left w:w="108" w:type="dxa"/>
        <w:bottom w:w="0" w:type="dxa"/>
        <w:right w:w="108" w:type="dxa"/>
      </w:tblCellMar>
    </w:tblPr>
  </w:style>
  <w:style w:type="paragraph" w:customStyle="1" w:styleId="2">
    <w:name w:val="样式2"/>
    <w:qFormat/>
    <w:uiPriority w:val="0"/>
    <w:pPr>
      <w:widowControl w:val="0"/>
      <w:spacing w:line="600" w:lineRule="exact"/>
      <w:ind w:right="-47" w:firstLine="200"/>
    </w:pPr>
    <w:rPr>
      <w:rFonts w:ascii="等线" w:hAnsi="等线" w:eastAsia="等线" w:cs="Times New Roman"/>
      <w:bCs/>
      <w:kern w:val="1"/>
      <w:sz w:val="21"/>
      <w:szCs w:val="28"/>
      <w:lang w:val="en-US" w:eastAsia="zh-CN" w:bidi="ar-SA"/>
    </w:rPr>
  </w:style>
  <w:style w:type="paragraph" w:styleId="6">
    <w:name w:val="Body Text"/>
    <w:basedOn w:val="1"/>
    <w:qFormat/>
    <w:uiPriority w:val="1"/>
    <w:rPr>
      <w:rFonts w:ascii="宋体" w:hAnsi="宋体" w:eastAsia="宋体" w:cs="宋体"/>
      <w:sz w:val="28"/>
      <w:szCs w:val="28"/>
      <w:lang w:val="zh-CN" w:eastAsia="zh-CN" w:bidi="zh-CN"/>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qFormat/>
    <w:uiPriority w:val="0"/>
  </w:style>
  <w:style w:type="paragraph" w:styleId="10">
    <w:name w:val="toc 2"/>
    <w:basedOn w:val="1"/>
    <w:next w:val="1"/>
    <w:qFormat/>
    <w:uiPriority w:val="0"/>
    <w:pPr>
      <w:ind w:left="420" w:leftChars="200"/>
    </w:pPr>
  </w:style>
  <w:style w:type="paragraph" w:styleId="11">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character" w:styleId="14">
    <w:name w:val="Strong"/>
    <w:basedOn w:val="13"/>
    <w:qFormat/>
    <w:uiPriority w:val="0"/>
    <w:rPr>
      <w:b/>
      <w:color w:val="000000"/>
    </w:rPr>
  </w:style>
  <w:style w:type="character" w:styleId="15">
    <w:name w:val="FollowedHyperlink"/>
    <w:basedOn w:val="13"/>
    <w:qFormat/>
    <w:uiPriority w:val="0"/>
    <w:rPr>
      <w:color w:val="000000"/>
      <w:u w:val="none"/>
    </w:rPr>
  </w:style>
  <w:style w:type="character" w:styleId="16">
    <w:name w:val="Emphasis"/>
    <w:basedOn w:val="13"/>
    <w:qFormat/>
    <w:uiPriority w:val="0"/>
  </w:style>
  <w:style w:type="character" w:styleId="17">
    <w:name w:val="HTML Definition"/>
    <w:basedOn w:val="13"/>
    <w:qFormat/>
    <w:uiPriority w:val="0"/>
    <w:rPr>
      <w:color w:val="5089D5"/>
    </w:rPr>
  </w:style>
  <w:style w:type="character" w:styleId="18">
    <w:name w:val="HTML Acronym"/>
    <w:basedOn w:val="13"/>
    <w:qFormat/>
    <w:uiPriority w:val="0"/>
  </w:style>
  <w:style w:type="character" w:styleId="19">
    <w:name w:val="HTML Variable"/>
    <w:basedOn w:val="13"/>
    <w:qFormat/>
    <w:uiPriority w:val="0"/>
  </w:style>
  <w:style w:type="character" w:styleId="20">
    <w:name w:val="Hyperlink"/>
    <w:basedOn w:val="13"/>
    <w:qFormat/>
    <w:uiPriority w:val="0"/>
    <w:rPr>
      <w:color w:val="000000"/>
      <w:u w:val="none"/>
    </w:rPr>
  </w:style>
  <w:style w:type="character" w:styleId="21">
    <w:name w:val="HTML Code"/>
    <w:basedOn w:val="13"/>
    <w:qFormat/>
    <w:uiPriority w:val="0"/>
    <w:rPr>
      <w:rFonts w:ascii="Courier" w:hAnsi="Courier" w:cs="Courier"/>
      <w:sz w:val="20"/>
    </w:rPr>
  </w:style>
  <w:style w:type="character" w:styleId="22">
    <w:name w:val="HTML Cite"/>
    <w:basedOn w:val="13"/>
    <w:qFormat/>
    <w:uiPriority w:val="0"/>
  </w:style>
  <w:style w:type="character" w:customStyle="1" w:styleId="23">
    <w:name w:val="pic"/>
    <w:basedOn w:val="13"/>
    <w:qFormat/>
    <w:uiPriority w:val="0"/>
    <w:rPr>
      <w:sz w:val="0"/>
      <w:szCs w:val="0"/>
    </w:rPr>
  </w:style>
  <w:style w:type="paragraph" w:customStyle="1" w:styleId="24">
    <w:name w:val="Table Paragraph"/>
    <w:basedOn w:val="1"/>
    <w:qFormat/>
    <w:uiPriority w:val="1"/>
    <w:pPr>
      <w:spacing w:before="73"/>
      <w:ind w:left="167" w:right="189"/>
      <w:jc w:val="center"/>
    </w:pPr>
    <w:rPr>
      <w:rFonts w:ascii="Times New Roman" w:hAnsi="Times New Roman" w:eastAsia="Times New Roman" w:cs="Times New Roman"/>
      <w:lang w:val="zh-CN" w:eastAsia="zh-CN" w:bidi="zh-CN"/>
    </w:rPr>
  </w:style>
</w:styles>
</file>

<file path=word/_rels/document.xml.rels><?xml version="1.0" encoding="UTF-8"?>

<Relationships xmlns="http://schemas.openxmlformats.org/package/2006/relationships">
  <Relationship Id="rId1" Type="http://schemas.openxmlformats.org/officeDocument/2006/relationships/styles" Target="styles.xml"/>
  <Relationship Id="rId10" Type="http://schemas.openxmlformats.org/officeDocument/2006/relationships/image" Target="media/image5.jpeg"/>
  <Relationship Id="rId11" Type="http://schemas.openxmlformats.org/officeDocument/2006/relationships/image" Target="media/image6.jpeg"/>
  <Relationship Id="rId12" Type="http://schemas.openxmlformats.org/officeDocument/2006/relationships/image" Target="media/image7.jpeg"/>
  <Relationship Id="rId13" Type="http://schemas.openxmlformats.org/officeDocument/2006/relationships/image" Target="media/image8.jpeg"/>
  <Relationship Id="rId14" Type="http://schemas.openxmlformats.org/officeDocument/2006/relationships/customXml" Target="../customXml/item1.xml"/>
  <Relationship Id="rId15" Type="http://schemas.openxmlformats.org/officeDocument/2006/relationships/numbering" Target="numbering.xml"/>
  <Relationship Id="rId16" Type="http://schemas.openxmlformats.org/officeDocument/2006/relationships/fontTable" Target="fontTable.xml"/>
  <Relationship Id="rId2" Type="http://schemas.openxmlformats.org/officeDocument/2006/relationships/settings" Target="settings.xml"/>
  <Relationship Id="rId3" Type="http://schemas.openxmlformats.org/officeDocument/2006/relationships/header" Target="header1.xml"/>
  <Relationship Id="rId4" Type="http://schemas.openxmlformats.org/officeDocument/2006/relationships/footer" Target="footer1.xml"/>
  <Relationship Id="rId5" Type="http://schemas.openxmlformats.org/officeDocument/2006/relationships/theme" Target="theme/theme1.xml"/>
  <Relationship Id="rId6" Type="http://schemas.openxmlformats.org/officeDocument/2006/relationships/image" Target="media/image1.jpeg"/>
  <Relationship Id="rId7" Type="http://schemas.openxmlformats.org/officeDocument/2006/relationships/image" Target="media/image2.jpeg"/>
  <Relationship Id="rId8" Type="http://schemas.openxmlformats.org/officeDocument/2006/relationships/image" Target="media/image3.jpeg"/>
  <Relationship Id="rId9" Type="http://schemas.openxmlformats.org/officeDocument/2006/relationships/image" Target="media/image4.jpe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TotalTime>
  <ScaleCrop>false</ScaleCrop>
  <LinksUpToDate>false</LinksUpToDate>
  <CharactersWithSpaces>0</CharactersWithSpaces>
  <Application>WPS Office_11.1.0.9305_F1E327BC-269C-435d-A152-05C5408002CA</Application>
  <DocSecurity>0</DocSecurity>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2020-01-01T06:12:00Z</dcterms:created>
  <dc:creator>。</dc:creator>
  <lastModifiedBy>。</lastModifiedBy>
  <dcterms:modified xsi:type="dcterms:W3CDTF">2020-01-03T07:15:24Z</dcterms:modified>
  <revision>1</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